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ED4" w:rsidRPr="00407ED4" w:rsidRDefault="00407ED4" w:rsidP="00407ED4">
      <w:pPr>
        <w:autoSpaceDE w:val="0"/>
        <w:autoSpaceDN w:val="0"/>
        <w:adjustRightInd w:val="0"/>
        <w:jc w:val="both"/>
        <w:outlineLvl w:val="0"/>
        <w:rPr>
          <w:rFonts w:ascii="Arial" w:hAnsi="Arial" w:cs="Arial"/>
          <w:b/>
          <w:sz w:val="22"/>
          <w:szCs w:val="22"/>
        </w:rPr>
      </w:pPr>
      <w:bookmarkStart w:id="0" w:name="_GoBack"/>
      <w:bookmarkEnd w:id="0"/>
      <w:r w:rsidRPr="00407ED4">
        <w:rPr>
          <w:rFonts w:ascii="Arial" w:hAnsi="Arial" w:cs="Arial"/>
          <w:b/>
          <w:bCs/>
          <w:sz w:val="22"/>
          <w:szCs w:val="22"/>
        </w:rPr>
        <w:tab/>
      </w:r>
      <w:r w:rsidRPr="00407ED4">
        <w:rPr>
          <w:rFonts w:ascii="Arial" w:hAnsi="Arial" w:cs="Arial"/>
          <w:b/>
          <w:bCs/>
          <w:sz w:val="22"/>
          <w:szCs w:val="22"/>
        </w:rPr>
        <w:tab/>
      </w:r>
      <w:r w:rsidRPr="00407ED4">
        <w:rPr>
          <w:rFonts w:ascii="Arial" w:hAnsi="Arial" w:cs="Arial"/>
          <w:b/>
          <w:bCs/>
          <w:sz w:val="22"/>
          <w:szCs w:val="22"/>
        </w:rPr>
        <w:tab/>
      </w:r>
      <w:r w:rsidRPr="00407ED4">
        <w:rPr>
          <w:rFonts w:ascii="Arial" w:hAnsi="Arial" w:cs="Arial"/>
          <w:b/>
          <w:bCs/>
          <w:sz w:val="22"/>
          <w:szCs w:val="22"/>
        </w:rPr>
        <w:tab/>
      </w:r>
      <w:r w:rsidRPr="00407ED4">
        <w:rPr>
          <w:rFonts w:ascii="Arial" w:hAnsi="Arial" w:cs="Arial"/>
          <w:b/>
          <w:bCs/>
          <w:sz w:val="22"/>
          <w:szCs w:val="22"/>
        </w:rPr>
        <w:tab/>
      </w:r>
      <w:r w:rsidRPr="00407ED4">
        <w:rPr>
          <w:rFonts w:ascii="Arial" w:hAnsi="Arial" w:cs="Arial"/>
          <w:b/>
          <w:bCs/>
          <w:sz w:val="22"/>
          <w:szCs w:val="22"/>
        </w:rPr>
        <w:tab/>
      </w:r>
      <w:r w:rsidRPr="00407ED4">
        <w:rPr>
          <w:rFonts w:ascii="Arial" w:hAnsi="Arial" w:cs="Arial"/>
          <w:b/>
          <w:bCs/>
          <w:sz w:val="22"/>
          <w:szCs w:val="22"/>
        </w:rPr>
        <w:tab/>
      </w:r>
      <w:r w:rsidRPr="00407ED4">
        <w:rPr>
          <w:rFonts w:ascii="Arial" w:hAnsi="Arial" w:cs="Arial"/>
          <w:b/>
          <w:bCs/>
          <w:sz w:val="22"/>
          <w:szCs w:val="22"/>
        </w:rPr>
        <w:tab/>
      </w:r>
      <w:r w:rsidRPr="00407ED4">
        <w:rPr>
          <w:rFonts w:ascii="Arial" w:hAnsi="Arial" w:cs="Arial"/>
          <w:b/>
          <w:bCs/>
          <w:sz w:val="22"/>
          <w:szCs w:val="22"/>
        </w:rPr>
        <w:tab/>
      </w:r>
      <w:r w:rsidRPr="00407ED4">
        <w:rPr>
          <w:rFonts w:ascii="Arial" w:hAnsi="Arial" w:cs="Arial"/>
          <w:b/>
          <w:bCs/>
          <w:sz w:val="22"/>
          <w:szCs w:val="22"/>
        </w:rPr>
        <w:tab/>
      </w:r>
      <w:r w:rsidRPr="00407ED4">
        <w:rPr>
          <w:rFonts w:ascii="Arial" w:hAnsi="Arial" w:cs="Arial"/>
          <w:b/>
          <w:bCs/>
          <w:sz w:val="22"/>
          <w:szCs w:val="22"/>
        </w:rPr>
        <w:tab/>
      </w:r>
      <w:r w:rsidRPr="00407ED4">
        <w:rPr>
          <w:rFonts w:ascii="Arial" w:hAnsi="Arial" w:cs="Arial"/>
          <w:b/>
          <w:bCs/>
          <w:sz w:val="22"/>
          <w:szCs w:val="22"/>
        </w:rPr>
        <w:tab/>
        <w:t>III.</w:t>
      </w:r>
      <w:r w:rsidRPr="00407ED4">
        <w:rPr>
          <w:rFonts w:ascii="Arial" w:hAnsi="Arial" w:cs="Arial"/>
          <w:b/>
          <w:bCs/>
          <w:sz w:val="22"/>
          <w:szCs w:val="22"/>
        </w:rPr>
        <w:tab/>
      </w:r>
    </w:p>
    <w:p w:rsidR="00407ED4" w:rsidRPr="00407ED4" w:rsidRDefault="00407ED4" w:rsidP="00407ED4">
      <w:pPr>
        <w:autoSpaceDE w:val="0"/>
        <w:autoSpaceDN w:val="0"/>
        <w:adjustRightInd w:val="0"/>
        <w:jc w:val="both"/>
        <w:outlineLvl w:val="0"/>
        <w:rPr>
          <w:rFonts w:ascii="Arial" w:hAnsi="Arial" w:cs="Arial"/>
          <w:b/>
          <w:sz w:val="22"/>
          <w:szCs w:val="22"/>
        </w:rPr>
      </w:pPr>
      <w:r w:rsidRPr="00261D54">
        <w:rPr>
          <w:rFonts w:ascii="Arial" w:hAnsi="Arial" w:cs="Arial"/>
          <w:b/>
          <w:sz w:val="22"/>
          <w:szCs w:val="22"/>
        </w:rPr>
        <w:t xml:space="preserve">Stanovisko Ministerstva financí a Generálního ředitelství cel ke Kontrolnímu závěru Nejvyššího kontrolního úřadu z kontrolní akce </w:t>
      </w:r>
      <w:r w:rsidRPr="00261D54">
        <w:rPr>
          <w:rFonts w:ascii="Arial" w:hAnsi="Arial" w:cs="Arial"/>
          <w:b/>
          <w:bCs/>
          <w:sz w:val="22"/>
          <w:szCs w:val="22"/>
        </w:rPr>
        <w:t xml:space="preserve">č. 15/33 – „Správa spotřebních daní“ </w:t>
      </w:r>
      <w:r w:rsidRPr="00261D54">
        <w:rPr>
          <w:rFonts w:ascii="Arial" w:hAnsi="Arial" w:cs="Arial"/>
          <w:b/>
          <w:sz w:val="22"/>
          <w:szCs w:val="22"/>
        </w:rPr>
        <w:t>(dále jen „Stanovisko“)</w:t>
      </w:r>
    </w:p>
    <w:p w:rsidR="00407ED4" w:rsidRPr="00407ED4" w:rsidRDefault="00407ED4" w:rsidP="00407ED4">
      <w:pPr>
        <w:autoSpaceDE w:val="0"/>
        <w:autoSpaceDN w:val="0"/>
        <w:adjustRightInd w:val="0"/>
        <w:jc w:val="both"/>
        <w:outlineLvl w:val="0"/>
        <w:rPr>
          <w:rFonts w:ascii="Arial" w:hAnsi="Arial" w:cs="Arial"/>
          <w:sz w:val="22"/>
          <w:szCs w:val="22"/>
        </w:rPr>
      </w:pPr>
    </w:p>
    <w:p w:rsidR="00407ED4" w:rsidRPr="00407ED4" w:rsidRDefault="00407ED4" w:rsidP="00407ED4">
      <w:pPr>
        <w:numPr>
          <w:ilvl w:val="0"/>
          <w:numId w:val="1"/>
        </w:numPr>
        <w:autoSpaceDE w:val="0"/>
        <w:autoSpaceDN w:val="0"/>
        <w:adjustRightInd w:val="0"/>
        <w:jc w:val="both"/>
        <w:outlineLvl w:val="0"/>
        <w:rPr>
          <w:rFonts w:ascii="Arial" w:hAnsi="Arial" w:cs="Arial"/>
          <w:b/>
          <w:sz w:val="22"/>
          <w:szCs w:val="22"/>
          <w:u w:val="single"/>
        </w:rPr>
      </w:pPr>
      <w:r w:rsidRPr="00407ED4">
        <w:rPr>
          <w:rFonts w:ascii="Arial" w:hAnsi="Arial" w:cs="Arial"/>
          <w:b/>
          <w:sz w:val="22"/>
          <w:szCs w:val="22"/>
          <w:u w:val="single"/>
        </w:rPr>
        <w:t>Úvod</w:t>
      </w:r>
    </w:p>
    <w:p w:rsidR="00407ED4" w:rsidRPr="00407ED4" w:rsidRDefault="00407ED4" w:rsidP="00407ED4">
      <w:pPr>
        <w:autoSpaceDE w:val="0"/>
        <w:autoSpaceDN w:val="0"/>
        <w:adjustRightInd w:val="0"/>
        <w:jc w:val="both"/>
        <w:outlineLvl w:val="0"/>
        <w:rPr>
          <w:rFonts w:ascii="Arial" w:hAnsi="Arial" w:cs="Arial"/>
          <w:bCs/>
          <w:sz w:val="22"/>
          <w:szCs w:val="22"/>
        </w:rPr>
      </w:pPr>
    </w:p>
    <w:p w:rsidR="00407ED4" w:rsidRPr="00407ED4" w:rsidRDefault="00407ED4" w:rsidP="00407ED4">
      <w:pPr>
        <w:autoSpaceDE w:val="0"/>
        <w:autoSpaceDN w:val="0"/>
        <w:adjustRightInd w:val="0"/>
        <w:jc w:val="both"/>
        <w:outlineLvl w:val="0"/>
        <w:rPr>
          <w:rFonts w:ascii="Arial" w:hAnsi="Arial" w:cs="Arial"/>
          <w:bCs/>
          <w:sz w:val="22"/>
          <w:szCs w:val="22"/>
        </w:rPr>
      </w:pPr>
      <w:r w:rsidRPr="00407ED4">
        <w:rPr>
          <w:rFonts w:ascii="Arial" w:hAnsi="Arial" w:cs="Arial"/>
          <w:bCs/>
          <w:sz w:val="22"/>
          <w:szCs w:val="22"/>
        </w:rPr>
        <w:t>Nejvyšší kontrolní úřad (dále též „NKÚ“) provedl kontrolní akci č. 15/33 – „Správa spotřebních daní“ (dále též „kontrolní akce NKÚ č. 15/33“). Cílem kontroly NKÚ bylo prověřit postup celních orgánů při správě spotřebních daní, zejména při sledování přepravy v systému podmíněného osvobození od spotřebních daní a při zajištění daně (celních dluhů) a dále prověřit, zda je systém správy spotřebních daní nastaven tak, aby byla zajištěna efektivnost výběru příjmů státního rozpočtu.</w:t>
      </w:r>
    </w:p>
    <w:p w:rsidR="00407ED4" w:rsidRPr="00407ED4" w:rsidRDefault="00407ED4" w:rsidP="00407ED4">
      <w:pPr>
        <w:autoSpaceDE w:val="0"/>
        <w:autoSpaceDN w:val="0"/>
        <w:adjustRightInd w:val="0"/>
        <w:jc w:val="both"/>
        <w:outlineLvl w:val="0"/>
        <w:rPr>
          <w:rFonts w:ascii="Arial" w:hAnsi="Arial" w:cs="Arial"/>
          <w:bCs/>
          <w:sz w:val="22"/>
          <w:szCs w:val="22"/>
        </w:rPr>
      </w:pPr>
    </w:p>
    <w:p w:rsidR="00407ED4" w:rsidRPr="00407ED4" w:rsidRDefault="00407ED4" w:rsidP="00407ED4">
      <w:pPr>
        <w:autoSpaceDE w:val="0"/>
        <w:autoSpaceDN w:val="0"/>
        <w:adjustRightInd w:val="0"/>
        <w:jc w:val="both"/>
        <w:outlineLvl w:val="0"/>
        <w:rPr>
          <w:rFonts w:ascii="Arial" w:hAnsi="Arial" w:cs="Arial"/>
          <w:bCs/>
          <w:sz w:val="22"/>
          <w:szCs w:val="22"/>
        </w:rPr>
      </w:pPr>
      <w:r w:rsidRPr="00407ED4">
        <w:rPr>
          <w:rFonts w:ascii="Arial" w:hAnsi="Arial" w:cs="Arial"/>
          <w:bCs/>
          <w:sz w:val="22"/>
          <w:szCs w:val="22"/>
        </w:rPr>
        <w:t>Kontrolovanou osobou bylo Generální ředitelství cel (dále též „GŘC“) a kontrolovaným obdobím byly roky 2012 – 2015, v případě věcných souvislostí také období předcházející a navazující.</w:t>
      </w:r>
    </w:p>
    <w:p w:rsidR="00407ED4" w:rsidRPr="00407ED4" w:rsidRDefault="00407ED4" w:rsidP="00407ED4">
      <w:pPr>
        <w:autoSpaceDE w:val="0"/>
        <w:autoSpaceDN w:val="0"/>
        <w:adjustRightInd w:val="0"/>
        <w:jc w:val="both"/>
        <w:outlineLvl w:val="0"/>
        <w:rPr>
          <w:rFonts w:ascii="Arial" w:hAnsi="Arial" w:cs="Arial"/>
          <w:bCs/>
          <w:sz w:val="22"/>
          <w:szCs w:val="22"/>
        </w:rPr>
      </w:pPr>
    </w:p>
    <w:p w:rsidR="00407ED4" w:rsidRPr="00407ED4" w:rsidRDefault="00407ED4" w:rsidP="00407ED4">
      <w:pPr>
        <w:autoSpaceDE w:val="0"/>
        <w:autoSpaceDN w:val="0"/>
        <w:adjustRightInd w:val="0"/>
        <w:jc w:val="both"/>
        <w:outlineLvl w:val="0"/>
        <w:rPr>
          <w:rFonts w:ascii="Arial" w:hAnsi="Arial" w:cs="Arial"/>
          <w:bCs/>
          <w:sz w:val="22"/>
          <w:szCs w:val="22"/>
        </w:rPr>
      </w:pPr>
      <w:r w:rsidRPr="00407ED4">
        <w:rPr>
          <w:rFonts w:ascii="Arial" w:hAnsi="Arial" w:cs="Arial"/>
          <w:bCs/>
          <w:sz w:val="22"/>
          <w:szCs w:val="22"/>
        </w:rPr>
        <w:t>Námitky proti kontrolnímu protokolu, které podalo GŘC, byly vypořádány vedoucím skupiny kontrolujících rozhodnutím o námitkách. Odvolání proti rozhodnutí o námitkách bylo vypořádáno usnesením Kolegia NKÚ.</w:t>
      </w:r>
    </w:p>
    <w:p w:rsidR="00407ED4" w:rsidRPr="00407ED4" w:rsidRDefault="00407ED4" w:rsidP="00407ED4">
      <w:pPr>
        <w:autoSpaceDE w:val="0"/>
        <w:autoSpaceDN w:val="0"/>
        <w:adjustRightInd w:val="0"/>
        <w:jc w:val="both"/>
        <w:outlineLvl w:val="0"/>
        <w:rPr>
          <w:rFonts w:ascii="Arial" w:hAnsi="Arial" w:cs="Arial"/>
          <w:bCs/>
          <w:sz w:val="22"/>
          <w:szCs w:val="22"/>
        </w:rPr>
      </w:pPr>
    </w:p>
    <w:p w:rsidR="00407ED4" w:rsidRPr="00407ED4" w:rsidRDefault="00407ED4" w:rsidP="00407ED4">
      <w:pPr>
        <w:autoSpaceDE w:val="0"/>
        <w:autoSpaceDN w:val="0"/>
        <w:adjustRightInd w:val="0"/>
        <w:jc w:val="both"/>
        <w:outlineLvl w:val="0"/>
        <w:rPr>
          <w:rFonts w:ascii="Arial" w:hAnsi="Arial" w:cs="Arial"/>
          <w:bCs/>
          <w:sz w:val="22"/>
          <w:szCs w:val="22"/>
        </w:rPr>
      </w:pPr>
      <w:r w:rsidRPr="00407ED4">
        <w:rPr>
          <w:rFonts w:ascii="Arial" w:hAnsi="Arial" w:cs="Arial"/>
          <w:bCs/>
          <w:sz w:val="22"/>
          <w:szCs w:val="22"/>
        </w:rPr>
        <w:t xml:space="preserve">NKÚ v Kontrolním závěru z kontrolní akce č. 15/33 konstatoval: </w:t>
      </w:r>
    </w:p>
    <w:p w:rsidR="00407ED4" w:rsidRPr="00407ED4" w:rsidRDefault="00407ED4" w:rsidP="00407ED4">
      <w:pPr>
        <w:autoSpaceDE w:val="0"/>
        <w:autoSpaceDN w:val="0"/>
        <w:adjustRightInd w:val="0"/>
        <w:jc w:val="both"/>
        <w:outlineLvl w:val="0"/>
        <w:rPr>
          <w:rFonts w:ascii="Arial" w:hAnsi="Arial" w:cs="Arial"/>
          <w:bCs/>
          <w:sz w:val="22"/>
          <w:szCs w:val="22"/>
        </w:rPr>
      </w:pPr>
      <w:r w:rsidRPr="00407ED4">
        <w:rPr>
          <w:rFonts w:ascii="Arial" w:hAnsi="Arial" w:cs="Arial"/>
          <w:bCs/>
          <w:sz w:val="22"/>
          <w:szCs w:val="22"/>
        </w:rPr>
        <w:t xml:space="preserve">A. Efektivita správy spotřebních a energetických daní (dále též „SPED“) je v porovnání s ostatními daňovými příjmy vysoká, což je způsobeno mírou zdanění a rozsahem dohledu; existuje však prostor pro úspory nákladů v řádu desítek milionů Kč za rok. Nedošlo ke zjednodušení systému správy SPED, snížení administrativních nákladů (ty naopak mírně rostou) a podíl energetických daní na celkových daňových příjmech nestoupá, což není v souladu se strategiemi vlády a EU. </w:t>
      </w:r>
    </w:p>
    <w:p w:rsidR="00407ED4" w:rsidRPr="00407ED4" w:rsidRDefault="00407ED4" w:rsidP="00407ED4">
      <w:pPr>
        <w:autoSpaceDE w:val="0"/>
        <w:autoSpaceDN w:val="0"/>
        <w:adjustRightInd w:val="0"/>
        <w:jc w:val="both"/>
        <w:outlineLvl w:val="0"/>
        <w:rPr>
          <w:rFonts w:ascii="Arial" w:hAnsi="Arial" w:cs="Arial"/>
          <w:bCs/>
          <w:sz w:val="22"/>
          <w:szCs w:val="22"/>
        </w:rPr>
      </w:pPr>
      <w:r w:rsidRPr="00407ED4">
        <w:rPr>
          <w:rFonts w:ascii="Arial" w:hAnsi="Arial" w:cs="Arial"/>
          <w:bCs/>
          <w:sz w:val="22"/>
          <w:szCs w:val="22"/>
        </w:rPr>
        <w:t xml:space="preserve">B. Výdaje GŘC ve výši 68 mil. Kč na projekt modernizace Celní správy České republiky (dále též „CS ČR“) a projekt komplexního zavedení procesního a strategického řízení v CS ČR byly vynaloženy neefektivně, neboť nebylo dosaženo dostatečných přínosů v podobě úspor výdajů na činnost CS ČR a správu SPED. </w:t>
      </w:r>
    </w:p>
    <w:p w:rsidR="00407ED4" w:rsidRPr="00407ED4" w:rsidRDefault="00407ED4" w:rsidP="00407ED4">
      <w:pPr>
        <w:autoSpaceDE w:val="0"/>
        <w:autoSpaceDN w:val="0"/>
        <w:adjustRightInd w:val="0"/>
        <w:jc w:val="both"/>
        <w:outlineLvl w:val="0"/>
        <w:rPr>
          <w:rFonts w:ascii="Arial" w:hAnsi="Arial" w:cs="Arial"/>
          <w:bCs/>
          <w:sz w:val="22"/>
          <w:szCs w:val="22"/>
        </w:rPr>
      </w:pPr>
    </w:p>
    <w:p w:rsidR="00CE117E" w:rsidRPr="00EC3B2E" w:rsidRDefault="00CE117E" w:rsidP="00CE117E">
      <w:pPr>
        <w:autoSpaceDE w:val="0"/>
        <w:autoSpaceDN w:val="0"/>
        <w:adjustRightInd w:val="0"/>
        <w:jc w:val="both"/>
        <w:outlineLvl w:val="0"/>
        <w:rPr>
          <w:rFonts w:ascii="Arial" w:hAnsi="Arial" w:cs="Arial"/>
          <w:bCs/>
          <w:sz w:val="22"/>
          <w:szCs w:val="22"/>
        </w:rPr>
      </w:pPr>
      <w:r w:rsidRPr="00EC3B2E">
        <w:rPr>
          <w:rFonts w:ascii="Arial" w:hAnsi="Arial" w:cs="Arial"/>
          <w:bCs/>
          <w:sz w:val="22"/>
          <w:szCs w:val="22"/>
        </w:rPr>
        <w:t>Ke zjištěním NKÚ uvádí MF následující:</w:t>
      </w:r>
    </w:p>
    <w:p w:rsidR="00CE117E" w:rsidRPr="00EC3B2E" w:rsidRDefault="00CE117E" w:rsidP="00CE117E">
      <w:pPr>
        <w:autoSpaceDE w:val="0"/>
        <w:autoSpaceDN w:val="0"/>
        <w:adjustRightInd w:val="0"/>
        <w:jc w:val="both"/>
        <w:outlineLvl w:val="0"/>
        <w:rPr>
          <w:rFonts w:ascii="Arial" w:hAnsi="Arial" w:cs="Arial"/>
          <w:bCs/>
          <w:sz w:val="22"/>
          <w:szCs w:val="22"/>
        </w:rPr>
      </w:pPr>
      <w:r w:rsidRPr="00EC3B2E">
        <w:rPr>
          <w:rFonts w:ascii="Arial" w:hAnsi="Arial" w:cs="Arial"/>
          <w:bCs/>
          <w:sz w:val="22"/>
          <w:szCs w:val="22"/>
        </w:rPr>
        <w:t xml:space="preserve">Reálnost a realizovatelnost převodu části pracovníků do jiného než služebního poměru, jakož i případné úspory z toho vyplývající, lze hodnotit až po zavedení projektu </w:t>
      </w:r>
      <w:r>
        <w:rPr>
          <w:rFonts w:ascii="Arial" w:hAnsi="Arial" w:cs="Arial"/>
          <w:bCs/>
          <w:sz w:val="22"/>
          <w:szCs w:val="22"/>
        </w:rPr>
        <w:t>„</w:t>
      </w:r>
      <w:r w:rsidRPr="00EC3B2E">
        <w:rPr>
          <w:rFonts w:ascii="Arial" w:hAnsi="Arial" w:cs="Arial"/>
          <w:bCs/>
          <w:sz w:val="22"/>
          <w:szCs w:val="22"/>
        </w:rPr>
        <w:t>samovyměření</w:t>
      </w:r>
      <w:r>
        <w:rPr>
          <w:rFonts w:ascii="Arial" w:hAnsi="Arial" w:cs="Arial"/>
          <w:bCs/>
          <w:sz w:val="22"/>
          <w:szCs w:val="22"/>
        </w:rPr>
        <w:t>“</w:t>
      </w:r>
      <w:r w:rsidRPr="00EC3B2E">
        <w:rPr>
          <w:rFonts w:ascii="Arial" w:hAnsi="Arial" w:cs="Arial"/>
          <w:bCs/>
          <w:sz w:val="22"/>
          <w:szCs w:val="22"/>
        </w:rPr>
        <w:t xml:space="preserve">, který má přinést významný přesun činností správců daně z oblasti administrativní do oblasti kontrolní, tj. významný úbytek pracovníků, v nichž NKÚ spatřuje možnost úspory. </w:t>
      </w:r>
    </w:p>
    <w:p w:rsidR="00CE117E" w:rsidRDefault="00CE117E" w:rsidP="00CE117E">
      <w:pPr>
        <w:autoSpaceDE w:val="0"/>
        <w:autoSpaceDN w:val="0"/>
        <w:adjustRightInd w:val="0"/>
        <w:jc w:val="both"/>
        <w:outlineLvl w:val="0"/>
        <w:rPr>
          <w:rFonts w:ascii="Arial" w:hAnsi="Arial" w:cs="Arial"/>
          <w:bCs/>
          <w:iCs/>
          <w:sz w:val="22"/>
          <w:szCs w:val="22"/>
        </w:rPr>
      </w:pPr>
      <w:r w:rsidRPr="00EC3B2E">
        <w:rPr>
          <w:rFonts w:ascii="Arial" w:hAnsi="Arial" w:cs="Arial"/>
          <w:bCs/>
          <w:iCs/>
          <w:sz w:val="22"/>
          <w:szCs w:val="22"/>
        </w:rPr>
        <w:t xml:space="preserve">V otázce zvyšování podílu energetických daní je třeba uvést, že tato situace je dána fiskální politikou České republiky, kdy je logicky upřednostněna daň z přidané hodnoty, jakožto univerzální nepřímá daň. </w:t>
      </w:r>
    </w:p>
    <w:p w:rsidR="00407ED4" w:rsidRPr="00407ED4" w:rsidRDefault="000D646D" w:rsidP="00407ED4">
      <w:pPr>
        <w:autoSpaceDE w:val="0"/>
        <w:autoSpaceDN w:val="0"/>
        <w:adjustRightInd w:val="0"/>
        <w:jc w:val="both"/>
        <w:outlineLvl w:val="0"/>
        <w:rPr>
          <w:rFonts w:ascii="Arial" w:hAnsi="Arial" w:cs="Arial"/>
          <w:bCs/>
          <w:sz w:val="22"/>
          <w:szCs w:val="22"/>
        </w:rPr>
      </w:pPr>
      <w:r w:rsidRPr="000D646D">
        <w:rPr>
          <w:rFonts w:ascii="Arial" w:hAnsi="Arial" w:cs="Arial"/>
          <w:bCs/>
          <w:iCs/>
          <w:sz w:val="22"/>
          <w:szCs w:val="22"/>
        </w:rPr>
        <w:t>Vynaložené finanční prostředky na tyto projekty vyvolaly některé pozitivní efekty, avšak</w:t>
      </w:r>
      <w:r>
        <w:rPr>
          <w:rFonts w:ascii="Arial" w:hAnsi="Arial" w:cs="Arial"/>
          <w:bCs/>
          <w:iCs/>
          <w:sz w:val="22"/>
          <w:szCs w:val="22"/>
        </w:rPr>
        <w:t> </w:t>
      </w:r>
      <w:r w:rsidRPr="000D646D">
        <w:rPr>
          <w:rFonts w:ascii="Arial" w:hAnsi="Arial" w:cs="Arial"/>
          <w:bCs/>
          <w:iCs/>
          <w:sz w:val="22"/>
          <w:szCs w:val="22"/>
        </w:rPr>
        <w:t>nebylo dosaženo takových přínosů, pro které byly realizovány. To bylo způsobeno mimo jiné i nerealistickými dopady přepokládanými před zavedením projektů.</w:t>
      </w:r>
    </w:p>
    <w:p w:rsidR="00407ED4" w:rsidRPr="00407ED4" w:rsidRDefault="00407ED4" w:rsidP="00407ED4">
      <w:pPr>
        <w:autoSpaceDE w:val="0"/>
        <w:autoSpaceDN w:val="0"/>
        <w:adjustRightInd w:val="0"/>
        <w:jc w:val="both"/>
        <w:outlineLvl w:val="0"/>
        <w:rPr>
          <w:rFonts w:ascii="Arial" w:hAnsi="Arial" w:cs="Arial"/>
          <w:sz w:val="22"/>
          <w:szCs w:val="22"/>
        </w:rPr>
      </w:pPr>
      <w:r w:rsidRPr="00407ED4">
        <w:rPr>
          <w:rFonts w:ascii="Arial" w:hAnsi="Arial" w:cs="Arial"/>
          <w:sz w:val="22"/>
          <w:szCs w:val="22"/>
        </w:rPr>
        <w:t xml:space="preserve">Ministerstvo financí a Generální ředitelství cel důkladně analyzovaly nedostatky uvedené v Kontrolním závěru z kontrolní akce NKÚ č. 15/33 a v rámci předkládaného Stanoviska </w:t>
      </w:r>
      <w:r w:rsidR="0065402B" w:rsidRPr="0065402B">
        <w:rPr>
          <w:rFonts w:ascii="Arial" w:hAnsi="Arial" w:cs="Arial"/>
          <w:sz w:val="22"/>
          <w:szCs w:val="22"/>
        </w:rPr>
        <w:t xml:space="preserve">Generální ředitelství cel </w:t>
      </w:r>
      <w:r w:rsidR="0065402B">
        <w:rPr>
          <w:rFonts w:ascii="Arial" w:hAnsi="Arial" w:cs="Arial"/>
          <w:sz w:val="22"/>
          <w:szCs w:val="22"/>
        </w:rPr>
        <w:t>přijalo</w:t>
      </w:r>
      <w:r w:rsidRPr="00407ED4">
        <w:rPr>
          <w:rFonts w:ascii="Arial" w:hAnsi="Arial" w:cs="Arial"/>
          <w:sz w:val="22"/>
          <w:szCs w:val="22"/>
        </w:rPr>
        <w:t xml:space="preserve"> opatření k jejich odstranění.</w:t>
      </w:r>
    </w:p>
    <w:p w:rsidR="00407ED4" w:rsidRPr="00407ED4" w:rsidRDefault="00407ED4" w:rsidP="00407ED4">
      <w:pPr>
        <w:autoSpaceDE w:val="0"/>
        <w:autoSpaceDN w:val="0"/>
        <w:adjustRightInd w:val="0"/>
        <w:jc w:val="both"/>
        <w:outlineLvl w:val="0"/>
        <w:rPr>
          <w:rFonts w:ascii="Arial" w:hAnsi="Arial" w:cs="Arial"/>
          <w:sz w:val="22"/>
          <w:szCs w:val="22"/>
        </w:rPr>
      </w:pPr>
    </w:p>
    <w:p w:rsidR="00407ED4" w:rsidRPr="00407ED4" w:rsidRDefault="00407ED4" w:rsidP="00407ED4">
      <w:pPr>
        <w:autoSpaceDE w:val="0"/>
        <w:autoSpaceDN w:val="0"/>
        <w:adjustRightInd w:val="0"/>
        <w:jc w:val="both"/>
        <w:outlineLvl w:val="0"/>
        <w:rPr>
          <w:rFonts w:ascii="Arial" w:hAnsi="Arial" w:cs="Arial"/>
          <w:sz w:val="22"/>
          <w:szCs w:val="22"/>
        </w:rPr>
      </w:pPr>
      <w:r w:rsidRPr="00407ED4">
        <w:rPr>
          <w:rFonts w:ascii="Arial" w:hAnsi="Arial" w:cs="Arial"/>
          <w:sz w:val="22"/>
          <w:szCs w:val="22"/>
        </w:rPr>
        <w:t>Pro přehlednost je v následujících částech Stanoviska respektováno členění částí a kapitol tak, jak je uvedeno v Kontrolním závěru.</w:t>
      </w:r>
    </w:p>
    <w:p w:rsidR="00A07983" w:rsidRDefault="00A07983" w:rsidP="00244851">
      <w:pPr>
        <w:autoSpaceDE w:val="0"/>
        <w:autoSpaceDN w:val="0"/>
        <w:adjustRightInd w:val="0"/>
        <w:jc w:val="both"/>
        <w:outlineLvl w:val="0"/>
        <w:rPr>
          <w:rFonts w:ascii="Arial" w:hAnsi="Arial" w:cs="Arial"/>
          <w:sz w:val="22"/>
          <w:szCs w:val="22"/>
        </w:rPr>
      </w:pPr>
    </w:p>
    <w:p w:rsidR="00ED413D" w:rsidRDefault="00ED413D" w:rsidP="00244851">
      <w:pPr>
        <w:autoSpaceDE w:val="0"/>
        <w:autoSpaceDN w:val="0"/>
        <w:adjustRightInd w:val="0"/>
        <w:jc w:val="both"/>
        <w:outlineLvl w:val="0"/>
        <w:rPr>
          <w:rFonts w:ascii="Arial" w:hAnsi="Arial" w:cs="Arial"/>
          <w:sz w:val="22"/>
          <w:szCs w:val="22"/>
        </w:rPr>
      </w:pPr>
    </w:p>
    <w:p w:rsidR="00D35441" w:rsidRDefault="004A1B26" w:rsidP="004A1B26">
      <w:pPr>
        <w:autoSpaceDE w:val="0"/>
        <w:autoSpaceDN w:val="0"/>
        <w:adjustRightInd w:val="0"/>
        <w:jc w:val="both"/>
        <w:outlineLvl w:val="0"/>
        <w:rPr>
          <w:rFonts w:ascii="Arial" w:hAnsi="Arial" w:cs="Arial"/>
          <w:b/>
          <w:sz w:val="22"/>
          <w:szCs w:val="22"/>
          <w:u w:val="single"/>
        </w:rPr>
      </w:pPr>
      <w:r w:rsidRPr="004A1B26">
        <w:rPr>
          <w:rFonts w:ascii="Arial" w:hAnsi="Arial" w:cs="Arial"/>
          <w:b/>
          <w:sz w:val="22"/>
          <w:szCs w:val="22"/>
        </w:rPr>
        <w:lastRenderedPageBreak/>
        <w:t xml:space="preserve">B. </w:t>
      </w:r>
      <w:r w:rsidR="00D35441" w:rsidRPr="005448B7">
        <w:rPr>
          <w:rFonts w:ascii="Arial" w:hAnsi="Arial" w:cs="Arial"/>
          <w:b/>
          <w:sz w:val="22"/>
          <w:szCs w:val="22"/>
          <w:u w:val="single"/>
        </w:rPr>
        <w:t>Stanovisko ke zjištěným nedostatkům uvedeným v Kontrolním závěru</w:t>
      </w:r>
    </w:p>
    <w:p w:rsidR="00D35441" w:rsidRPr="005448B7" w:rsidRDefault="00D35441" w:rsidP="00244851">
      <w:pPr>
        <w:autoSpaceDE w:val="0"/>
        <w:autoSpaceDN w:val="0"/>
        <w:adjustRightInd w:val="0"/>
        <w:jc w:val="both"/>
        <w:outlineLvl w:val="0"/>
        <w:rPr>
          <w:rFonts w:ascii="Arial" w:hAnsi="Arial" w:cs="Arial"/>
          <w:b/>
          <w:sz w:val="22"/>
          <w:szCs w:val="22"/>
          <w:u w:val="single"/>
        </w:rPr>
      </w:pPr>
    </w:p>
    <w:p w:rsidR="00D35441" w:rsidRDefault="00D35441" w:rsidP="00244851">
      <w:pPr>
        <w:autoSpaceDE w:val="0"/>
        <w:autoSpaceDN w:val="0"/>
        <w:adjustRightInd w:val="0"/>
        <w:jc w:val="both"/>
        <w:outlineLvl w:val="0"/>
        <w:rPr>
          <w:rFonts w:ascii="Arial" w:hAnsi="Arial" w:cs="Arial"/>
          <w:b/>
          <w:bCs/>
          <w:sz w:val="22"/>
          <w:szCs w:val="22"/>
          <w:u w:val="single"/>
        </w:rPr>
      </w:pPr>
      <w:r w:rsidRPr="009C4354">
        <w:rPr>
          <w:rFonts w:ascii="Arial" w:hAnsi="Arial" w:cs="Arial"/>
          <w:b/>
          <w:sz w:val="22"/>
          <w:szCs w:val="22"/>
          <w:u w:val="single"/>
        </w:rPr>
        <w:t xml:space="preserve">Část </w:t>
      </w:r>
      <w:r>
        <w:rPr>
          <w:rFonts w:ascii="Arial" w:hAnsi="Arial" w:cs="Arial"/>
          <w:b/>
          <w:bCs/>
          <w:sz w:val="22"/>
          <w:szCs w:val="22"/>
          <w:u w:val="single"/>
        </w:rPr>
        <w:t>II</w:t>
      </w:r>
      <w:r w:rsidRPr="009C4354">
        <w:rPr>
          <w:rFonts w:ascii="Arial" w:hAnsi="Arial" w:cs="Arial"/>
          <w:b/>
          <w:bCs/>
          <w:sz w:val="22"/>
          <w:szCs w:val="22"/>
          <w:u w:val="single"/>
        </w:rPr>
        <w:t xml:space="preserve">. </w:t>
      </w:r>
      <w:r w:rsidR="006E3C49" w:rsidRPr="006E3C49">
        <w:rPr>
          <w:rFonts w:ascii="Arial" w:hAnsi="Arial" w:cs="Arial"/>
          <w:b/>
          <w:bCs/>
          <w:sz w:val="22"/>
          <w:szCs w:val="22"/>
          <w:u w:val="single"/>
        </w:rPr>
        <w:t>Skutečnosti zjištěné při kontrole</w:t>
      </w:r>
    </w:p>
    <w:p w:rsidR="00B03D36" w:rsidRDefault="00B03D36" w:rsidP="00244851">
      <w:pPr>
        <w:autoSpaceDE w:val="0"/>
        <w:autoSpaceDN w:val="0"/>
        <w:adjustRightInd w:val="0"/>
        <w:jc w:val="both"/>
        <w:outlineLvl w:val="0"/>
        <w:rPr>
          <w:rFonts w:ascii="Arial" w:hAnsi="Arial" w:cs="Arial"/>
          <w:bCs/>
          <w:iCs/>
          <w:sz w:val="22"/>
          <w:szCs w:val="22"/>
        </w:rPr>
      </w:pPr>
    </w:p>
    <w:p w:rsidR="006E3C49" w:rsidRPr="006E3C49" w:rsidRDefault="006E3C49" w:rsidP="006E3C49">
      <w:pPr>
        <w:pStyle w:val="Odstavecseseznamem"/>
        <w:numPr>
          <w:ilvl w:val="0"/>
          <w:numId w:val="22"/>
        </w:numPr>
        <w:jc w:val="both"/>
        <w:rPr>
          <w:rFonts w:ascii="Arial" w:hAnsi="Arial" w:cs="Arial"/>
          <w:b/>
          <w:bCs/>
          <w:sz w:val="22"/>
          <w:szCs w:val="22"/>
        </w:rPr>
      </w:pPr>
      <w:r w:rsidRPr="006E3C49">
        <w:rPr>
          <w:rFonts w:ascii="Arial" w:hAnsi="Arial" w:cs="Arial"/>
          <w:b/>
          <w:bCs/>
          <w:sz w:val="22"/>
          <w:szCs w:val="22"/>
        </w:rPr>
        <w:t xml:space="preserve">Efektivnost výdajů vynaložených na správu SPED a plnění cílů EU a vlády ČR     v oblasti daní </w:t>
      </w:r>
    </w:p>
    <w:p w:rsidR="006E3C49" w:rsidRPr="006E3C49" w:rsidRDefault="006E3C49" w:rsidP="006E3C49">
      <w:pPr>
        <w:rPr>
          <w:rFonts w:ascii="Arial" w:hAnsi="Arial" w:cs="Arial"/>
          <w:b/>
          <w:bCs/>
          <w:sz w:val="22"/>
          <w:szCs w:val="22"/>
        </w:rPr>
      </w:pPr>
    </w:p>
    <w:p w:rsidR="006E3C49" w:rsidRPr="006E3C49" w:rsidRDefault="006E3C49" w:rsidP="006E3C49">
      <w:pPr>
        <w:rPr>
          <w:rFonts w:ascii="Arial" w:hAnsi="Arial" w:cs="Arial"/>
          <w:b/>
          <w:bCs/>
          <w:sz w:val="22"/>
          <w:szCs w:val="22"/>
        </w:rPr>
      </w:pPr>
      <w:r w:rsidRPr="006E3C49">
        <w:rPr>
          <w:rFonts w:ascii="Arial" w:hAnsi="Arial" w:cs="Arial"/>
          <w:b/>
          <w:bCs/>
          <w:sz w:val="22"/>
          <w:szCs w:val="22"/>
        </w:rPr>
        <w:t>1. Vývoj makroekonomických ukazatelů a vývoj SPED</w:t>
      </w:r>
    </w:p>
    <w:p w:rsidR="00453266" w:rsidRDefault="006E3C49" w:rsidP="00244851">
      <w:pPr>
        <w:jc w:val="both"/>
        <w:rPr>
          <w:rFonts w:ascii="Arial" w:hAnsi="Arial" w:cs="Arial"/>
          <w:bCs/>
          <w:i/>
          <w:sz w:val="22"/>
          <w:szCs w:val="22"/>
          <w:u w:val="single"/>
        </w:rPr>
      </w:pPr>
      <w:r>
        <w:rPr>
          <w:rFonts w:ascii="Arial" w:hAnsi="Arial" w:cs="Arial"/>
          <w:bCs/>
          <w:sz w:val="22"/>
          <w:szCs w:val="22"/>
        </w:rPr>
        <w:t xml:space="preserve">    </w:t>
      </w:r>
      <w:r w:rsidRPr="006E3C49">
        <w:rPr>
          <w:rFonts w:ascii="Arial" w:hAnsi="Arial" w:cs="Arial"/>
          <w:bCs/>
          <w:sz w:val="22"/>
          <w:szCs w:val="22"/>
        </w:rPr>
        <w:t>(str. 4 Kontrolního závěru)</w:t>
      </w:r>
    </w:p>
    <w:p w:rsidR="006E3C49" w:rsidRDefault="006E3C49" w:rsidP="00244851">
      <w:pPr>
        <w:jc w:val="both"/>
        <w:rPr>
          <w:rFonts w:ascii="Arial" w:hAnsi="Arial" w:cs="Arial"/>
          <w:bCs/>
          <w:i/>
          <w:sz w:val="22"/>
          <w:szCs w:val="22"/>
          <w:u w:val="single"/>
        </w:rPr>
      </w:pPr>
    </w:p>
    <w:p w:rsidR="00D35441" w:rsidRPr="00D35441" w:rsidRDefault="00D35441" w:rsidP="00244851">
      <w:pPr>
        <w:jc w:val="both"/>
        <w:rPr>
          <w:rFonts w:ascii="Arial" w:hAnsi="Arial" w:cs="Arial"/>
          <w:bCs/>
          <w:i/>
          <w:sz w:val="22"/>
          <w:szCs w:val="22"/>
          <w:u w:val="single"/>
        </w:rPr>
      </w:pPr>
      <w:r w:rsidRPr="00D35441">
        <w:rPr>
          <w:rFonts w:ascii="Arial" w:hAnsi="Arial" w:cs="Arial"/>
          <w:bCs/>
          <w:i/>
          <w:sz w:val="22"/>
          <w:szCs w:val="22"/>
          <w:u w:val="single"/>
        </w:rPr>
        <w:t>Zjištění NKÚ:</w:t>
      </w:r>
    </w:p>
    <w:p w:rsidR="00D35441" w:rsidRPr="006E3C49" w:rsidRDefault="006E3C49" w:rsidP="00244851">
      <w:pPr>
        <w:jc w:val="both"/>
        <w:rPr>
          <w:rFonts w:ascii="Arial" w:hAnsi="Arial" w:cs="Arial"/>
          <w:bCs/>
          <w:i/>
          <w:sz w:val="22"/>
          <w:szCs w:val="22"/>
        </w:rPr>
      </w:pPr>
      <w:r>
        <w:rPr>
          <w:rFonts w:ascii="Arial" w:hAnsi="Arial" w:cs="Arial"/>
          <w:bCs/>
          <w:i/>
          <w:sz w:val="22"/>
          <w:szCs w:val="22"/>
        </w:rPr>
        <w:t>„</w:t>
      </w:r>
      <w:r w:rsidRPr="006E3C49">
        <w:rPr>
          <w:rFonts w:ascii="Arial" w:hAnsi="Arial" w:cs="Arial"/>
          <w:bCs/>
          <w:i/>
          <w:sz w:val="22"/>
          <w:szCs w:val="22"/>
        </w:rPr>
        <w:t>Výdaje na správu SPED se na výdaj</w:t>
      </w:r>
      <w:r>
        <w:rPr>
          <w:rFonts w:ascii="Arial" w:hAnsi="Arial" w:cs="Arial"/>
          <w:bCs/>
          <w:i/>
          <w:sz w:val="22"/>
          <w:szCs w:val="22"/>
        </w:rPr>
        <w:t>ích CS ČR a Finanční správy ČR</w:t>
      </w:r>
      <w:r w:rsidRPr="006E3C49">
        <w:rPr>
          <w:rFonts w:ascii="Arial" w:hAnsi="Arial" w:cs="Arial"/>
          <w:bCs/>
          <w:i/>
          <w:sz w:val="22"/>
          <w:szCs w:val="22"/>
        </w:rPr>
        <w:t xml:space="preserve"> (dále také „FS ČR“) každoročně podílely necelými 8 %, avšak mezi roky 2013 až 2015 podíl narostl o 0,5 procentního bodu. Podíl SPED na celkových daňových příjmech podle metodiky Organizace pro hospodářskou spolupráci a rozvoj (dále také „OECD“) v ČR je od roku 2011 klesající, přičemž v roce 2014 dosáhl nejnižší hodnoty od roku 2005. Dosažené hodnoty jsou však trvale oproti průměru OECD nadprůměrné. Stejná situace je i u podílu SPED na hrubém domácím produktu. Na celkovém inkasu SPED se nejvíce podílí spotřební daň z minerálních olejů, avšak od roku 2008 její význam pro celkové inkaso SPED klesá. Jednotlivé energetické daně tvoří z celkových daňových příjmů zanedbatelnou část (daň ze zemního plynu a daň z elektřiny 0,8 % až 0,9 %, daň z pevných paliv 0,3 %), což je způsobeno sazbou daně, která je v porovnání s okolními státy nízká. Sazby v ČR se pohybují blízko minimálních sazeb stanovených EU (viz graf č. 2). Inkaso SPED na jednoho obyvatele od</w:t>
      </w:r>
      <w:r w:rsidR="002C6333">
        <w:rPr>
          <w:rFonts w:ascii="Arial" w:hAnsi="Arial" w:cs="Arial"/>
          <w:bCs/>
          <w:i/>
          <w:sz w:val="22"/>
          <w:szCs w:val="22"/>
        </w:rPr>
        <w:t> </w:t>
      </w:r>
      <w:r w:rsidRPr="006E3C49">
        <w:rPr>
          <w:rFonts w:ascii="Arial" w:hAnsi="Arial" w:cs="Arial"/>
          <w:bCs/>
          <w:i/>
          <w:sz w:val="22"/>
          <w:szCs w:val="22"/>
        </w:rPr>
        <w:t>roku 2006 průměrně stouplo o cca 12 % a dosahuje cca 13 200 Kč za rok.</w:t>
      </w:r>
      <w:r>
        <w:rPr>
          <w:rFonts w:ascii="Arial" w:hAnsi="Arial" w:cs="Arial"/>
          <w:bCs/>
          <w:i/>
          <w:sz w:val="22"/>
          <w:szCs w:val="22"/>
        </w:rPr>
        <w:t>“</w:t>
      </w:r>
    </w:p>
    <w:p w:rsidR="006E3C49" w:rsidRDefault="006E3C49" w:rsidP="00244851">
      <w:pPr>
        <w:jc w:val="both"/>
        <w:rPr>
          <w:rFonts w:ascii="Arial" w:hAnsi="Arial" w:cs="Arial"/>
          <w:i/>
          <w:sz w:val="22"/>
          <w:szCs w:val="22"/>
        </w:rPr>
      </w:pPr>
    </w:p>
    <w:p w:rsidR="00647D57" w:rsidRPr="004D4E28" w:rsidRDefault="00647D57" w:rsidP="00647D57">
      <w:pPr>
        <w:jc w:val="both"/>
        <w:rPr>
          <w:rFonts w:ascii="Arial" w:hAnsi="Arial" w:cs="Arial"/>
          <w:bCs/>
          <w:iCs/>
          <w:sz w:val="22"/>
          <w:szCs w:val="22"/>
          <w:u w:val="single"/>
        </w:rPr>
      </w:pPr>
      <w:r w:rsidRPr="004D4E28">
        <w:rPr>
          <w:rFonts w:ascii="Arial" w:hAnsi="Arial" w:cs="Arial"/>
          <w:bCs/>
          <w:iCs/>
          <w:sz w:val="22"/>
          <w:szCs w:val="22"/>
          <w:u w:val="single"/>
        </w:rPr>
        <w:t xml:space="preserve">Stanovisko </w:t>
      </w:r>
      <w:r w:rsidR="006E3C49">
        <w:rPr>
          <w:rFonts w:ascii="Arial" w:hAnsi="Arial" w:cs="Arial"/>
          <w:bCs/>
          <w:iCs/>
          <w:sz w:val="22"/>
          <w:szCs w:val="22"/>
          <w:u w:val="single"/>
        </w:rPr>
        <w:t>GŘC</w:t>
      </w:r>
      <w:r w:rsidRPr="004D4E28">
        <w:rPr>
          <w:rFonts w:ascii="Arial" w:hAnsi="Arial" w:cs="Arial"/>
          <w:bCs/>
          <w:iCs/>
          <w:sz w:val="22"/>
          <w:szCs w:val="22"/>
          <w:u w:val="single"/>
        </w:rPr>
        <w:t>:</w:t>
      </w: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V otázce poklesu podílu spotřebních daní (a to včetně daní energetických) je třeba uvést, že</w:t>
      </w:r>
      <w:r w:rsidR="00DD5DD5">
        <w:rPr>
          <w:rFonts w:ascii="Arial" w:hAnsi="Arial" w:cs="Arial"/>
          <w:bCs/>
          <w:iCs/>
          <w:sz w:val="22"/>
          <w:szCs w:val="22"/>
        </w:rPr>
        <w:t> </w:t>
      </w:r>
      <w:r w:rsidRPr="00DD5DD5">
        <w:rPr>
          <w:rFonts w:ascii="Arial" w:hAnsi="Arial" w:cs="Arial"/>
          <w:bCs/>
          <w:iCs/>
          <w:sz w:val="22"/>
          <w:szCs w:val="22"/>
        </w:rPr>
        <w:t>tato situace je dána fiskální politikou České republiky, kdy je logicky upřednostněna daň z</w:t>
      </w:r>
      <w:r w:rsidR="00DD5DD5">
        <w:rPr>
          <w:rFonts w:ascii="Arial" w:hAnsi="Arial" w:cs="Arial"/>
          <w:bCs/>
          <w:iCs/>
          <w:sz w:val="22"/>
          <w:szCs w:val="22"/>
        </w:rPr>
        <w:t> </w:t>
      </w:r>
      <w:r w:rsidRPr="00DD5DD5">
        <w:rPr>
          <w:rFonts w:ascii="Arial" w:hAnsi="Arial" w:cs="Arial"/>
          <w:bCs/>
          <w:iCs/>
          <w:sz w:val="22"/>
          <w:szCs w:val="22"/>
        </w:rPr>
        <w:t>přidané hodnoty, jakožto univerzální nepřímá daň. Spotřební daně pak slouží primárně jako vyjádření hodnoty negativních externalit spojených se spotřebou některých produktů (dopad na zdraví obyvatelstva a životní prostředí spojené s jejich výrobou a konzumací). Podíl spotřebních daní na celkovém daňovém mixu a inkasu tedy není determinován vůlí a</w:t>
      </w:r>
      <w:r w:rsidR="00DD5DD5">
        <w:rPr>
          <w:rFonts w:ascii="Arial" w:hAnsi="Arial" w:cs="Arial"/>
          <w:bCs/>
          <w:iCs/>
          <w:sz w:val="22"/>
          <w:szCs w:val="22"/>
        </w:rPr>
        <w:t> </w:t>
      </w:r>
      <w:r w:rsidRPr="00DD5DD5">
        <w:rPr>
          <w:rFonts w:ascii="Arial" w:hAnsi="Arial" w:cs="Arial"/>
          <w:bCs/>
          <w:iCs/>
          <w:sz w:val="22"/>
          <w:szCs w:val="22"/>
        </w:rPr>
        <w:t>činností celní správy, nýbrž daňovou politikou vlády.</w:t>
      </w:r>
    </w:p>
    <w:p w:rsidR="006E3C49" w:rsidRPr="00DD5DD5" w:rsidRDefault="00E03962" w:rsidP="00E03962">
      <w:pPr>
        <w:jc w:val="both"/>
        <w:rPr>
          <w:rFonts w:ascii="Arial" w:hAnsi="Arial" w:cs="Arial"/>
          <w:bCs/>
          <w:iCs/>
          <w:sz w:val="22"/>
          <w:szCs w:val="22"/>
        </w:rPr>
      </w:pPr>
      <w:r w:rsidRPr="00DD5DD5">
        <w:rPr>
          <w:rFonts w:ascii="Arial" w:hAnsi="Arial" w:cs="Arial"/>
          <w:bCs/>
          <w:iCs/>
          <w:sz w:val="22"/>
          <w:szCs w:val="22"/>
        </w:rPr>
        <w:t>Skutečnost, že má Česká republika oproti sousedním státům poměrně nízké sazby energetických daní (NKÚ do této skupiny zahrnul, minimálně graficky na použitém obrázku, i</w:t>
      </w:r>
      <w:r w:rsidR="00DD5DD5">
        <w:rPr>
          <w:rFonts w:ascii="Arial" w:hAnsi="Arial" w:cs="Arial"/>
          <w:bCs/>
          <w:iCs/>
          <w:sz w:val="22"/>
          <w:szCs w:val="22"/>
        </w:rPr>
        <w:t> </w:t>
      </w:r>
      <w:r w:rsidRPr="00DD5DD5">
        <w:rPr>
          <w:rFonts w:ascii="Arial" w:hAnsi="Arial" w:cs="Arial"/>
          <w:bCs/>
          <w:iCs/>
          <w:sz w:val="22"/>
          <w:szCs w:val="22"/>
        </w:rPr>
        <w:t>motorová paliva, která jsou v ČR zahrnuta ve spotřebních daních) je nepopiratelná. Je však otázkou, nakolik je tato skutečnost ke škodě. Česká republika je otevřenou ekonomikou, jejímž významným hospodářským odvětvím je zpracovatelský průmysl, lehké strojírenství a</w:t>
      </w:r>
      <w:r w:rsidR="00DD5DD5">
        <w:rPr>
          <w:rFonts w:ascii="Arial" w:hAnsi="Arial" w:cs="Arial"/>
          <w:bCs/>
          <w:iCs/>
          <w:sz w:val="22"/>
          <w:szCs w:val="22"/>
        </w:rPr>
        <w:t> </w:t>
      </w:r>
      <w:r w:rsidRPr="00DD5DD5">
        <w:rPr>
          <w:rFonts w:ascii="Arial" w:hAnsi="Arial" w:cs="Arial"/>
          <w:bCs/>
          <w:iCs/>
          <w:sz w:val="22"/>
          <w:szCs w:val="22"/>
        </w:rPr>
        <w:t>zejména automotiv, což jsou odvětví vysoce náročná na energie. Zvýšení sazeb energetických daní by se tak negativně podepsalo na konkurenceschopnosti těchto hospodářsky významných odvětví a došlo by ke snížení příjmů na jiných daních či k poklesu výroby a tím i HDP. A opět je nutné zmínit, že je to především otázka fiskální politiky a z ní vycházejícího daňového mixu.</w:t>
      </w:r>
    </w:p>
    <w:p w:rsidR="00E03962" w:rsidRDefault="00E03962" w:rsidP="00E03962">
      <w:pPr>
        <w:jc w:val="both"/>
        <w:rPr>
          <w:rFonts w:ascii="Arial" w:hAnsi="Arial" w:cs="Arial"/>
          <w:i/>
          <w:sz w:val="22"/>
          <w:szCs w:val="22"/>
        </w:rPr>
      </w:pPr>
    </w:p>
    <w:p w:rsidR="00A4404E" w:rsidRPr="00A4404E" w:rsidRDefault="00A4404E" w:rsidP="00A4404E">
      <w:pPr>
        <w:jc w:val="both"/>
        <w:rPr>
          <w:rFonts w:ascii="Arial" w:hAnsi="Arial" w:cs="Arial"/>
          <w:bCs/>
          <w:iCs/>
          <w:sz w:val="22"/>
          <w:szCs w:val="22"/>
        </w:rPr>
      </w:pPr>
      <w:r w:rsidRPr="00A4404E">
        <w:rPr>
          <w:rFonts w:ascii="Arial" w:hAnsi="Arial" w:cs="Arial"/>
          <w:bCs/>
          <w:iCs/>
          <w:sz w:val="22"/>
          <w:szCs w:val="22"/>
          <w:u w:val="single"/>
        </w:rPr>
        <w:t xml:space="preserve">Opatření </w:t>
      </w:r>
      <w:r w:rsidR="006E3C49" w:rsidRPr="006E3C49">
        <w:rPr>
          <w:rFonts w:ascii="Arial" w:hAnsi="Arial" w:cs="Arial"/>
          <w:bCs/>
          <w:iCs/>
          <w:sz w:val="22"/>
          <w:szCs w:val="22"/>
          <w:u w:val="single"/>
        </w:rPr>
        <w:t>GŘC</w:t>
      </w:r>
      <w:r w:rsidRPr="00A4404E">
        <w:rPr>
          <w:rFonts w:ascii="Arial" w:hAnsi="Arial" w:cs="Arial"/>
          <w:bCs/>
          <w:iCs/>
          <w:sz w:val="22"/>
          <w:szCs w:val="22"/>
          <w:u w:val="single"/>
        </w:rPr>
        <w:t>:</w:t>
      </w:r>
    </w:p>
    <w:p w:rsidR="002C6333" w:rsidRPr="00231C15" w:rsidRDefault="002C6333" w:rsidP="002C6333">
      <w:pPr>
        <w:autoSpaceDE w:val="0"/>
        <w:autoSpaceDN w:val="0"/>
        <w:adjustRightInd w:val="0"/>
        <w:jc w:val="both"/>
        <w:outlineLvl w:val="0"/>
        <w:rPr>
          <w:rFonts w:ascii="Arial" w:hAnsi="Arial" w:cs="Arial"/>
          <w:bCs/>
          <w:iCs/>
          <w:sz w:val="22"/>
          <w:szCs w:val="22"/>
        </w:rPr>
      </w:pPr>
      <w:r w:rsidRPr="00231C15">
        <w:rPr>
          <w:rFonts w:ascii="Arial" w:hAnsi="Arial" w:cs="Arial"/>
          <w:bCs/>
          <w:iCs/>
          <w:sz w:val="22"/>
          <w:szCs w:val="22"/>
        </w:rPr>
        <w:t xml:space="preserve">Vzhledem ke stanovisku </w:t>
      </w:r>
      <w:r w:rsidRPr="002C6333">
        <w:rPr>
          <w:rFonts w:ascii="Arial" w:hAnsi="Arial" w:cs="Arial"/>
          <w:bCs/>
          <w:iCs/>
          <w:sz w:val="22"/>
          <w:szCs w:val="22"/>
        </w:rPr>
        <w:t xml:space="preserve">GŘC </w:t>
      </w:r>
      <w:r w:rsidRPr="00231C15">
        <w:rPr>
          <w:rFonts w:ascii="Arial" w:hAnsi="Arial" w:cs="Arial"/>
          <w:bCs/>
          <w:iCs/>
          <w:sz w:val="22"/>
          <w:szCs w:val="22"/>
        </w:rPr>
        <w:t>opatření nepřijímá.</w:t>
      </w:r>
    </w:p>
    <w:p w:rsidR="00A4404E" w:rsidRPr="00B722D5" w:rsidRDefault="00B722D5" w:rsidP="00B722D5">
      <w:pPr>
        <w:jc w:val="both"/>
        <w:rPr>
          <w:rFonts w:ascii="Arial" w:hAnsi="Arial" w:cs="Arial"/>
          <w:bCs/>
          <w:sz w:val="22"/>
          <w:szCs w:val="22"/>
        </w:rPr>
      </w:pPr>
      <w:r w:rsidRPr="00B722D5">
        <w:rPr>
          <w:rFonts w:ascii="Arial" w:hAnsi="Arial" w:cs="Arial"/>
          <w:bCs/>
          <w:sz w:val="22"/>
          <w:szCs w:val="22"/>
        </w:rPr>
        <w:t>Jedná se o konstatování stavu, který je dán daňovou politikou, kterou celní správa nestanovuje.</w:t>
      </w:r>
    </w:p>
    <w:p w:rsidR="00647D57" w:rsidRDefault="00647D57" w:rsidP="00244851">
      <w:pPr>
        <w:jc w:val="both"/>
        <w:rPr>
          <w:rFonts w:ascii="Arial" w:hAnsi="Arial" w:cs="Arial"/>
          <w:i/>
          <w:sz w:val="22"/>
          <w:szCs w:val="22"/>
        </w:rPr>
      </w:pPr>
    </w:p>
    <w:p w:rsidR="006C2801" w:rsidRDefault="006C2801" w:rsidP="00244851">
      <w:pPr>
        <w:autoSpaceDE w:val="0"/>
        <w:autoSpaceDN w:val="0"/>
        <w:adjustRightInd w:val="0"/>
        <w:jc w:val="both"/>
        <w:outlineLvl w:val="0"/>
        <w:rPr>
          <w:rFonts w:ascii="Arial" w:hAnsi="Arial" w:cs="Arial"/>
          <w:bCs/>
          <w:iCs/>
          <w:sz w:val="22"/>
          <w:szCs w:val="22"/>
        </w:rPr>
      </w:pPr>
    </w:p>
    <w:p w:rsidR="008C69A9" w:rsidRDefault="008C69A9" w:rsidP="00244851">
      <w:pPr>
        <w:autoSpaceDE w:val="0"/>
        <w:autoSpaceDN w:val="0"/>
        <w:adjustRightInd w:val="0"/>
        <w:jc w:val="both"/>
        <w:outlineLvl w:val="0"/>
        <w:rPr>
          <w:rFonts w:ascii="Arial" w:hAnsi="Arial" w:cs="Arial"/>
          <w:bCs/>
          <w:iCs/>
          <w:sz w:val="22"/>
          <w:szCs w:val="22"/>
        </w:rPr>
      </w:pPr>
    </w:p>
    <w:p w:rsidR="008C69A9" w:rsidRDefault="008C69A9" w:rsidP="00244851">
      <w:pPr>
        <w:autoSpaceDE w:val="0"/>
        <w:autoSpaceDN w:val="0"/>
        <w:adjustRightInd w:val="0"/>
        <w:jc w:val="both"/>
        <w:outlineLvl w:val="0"/>
        <w:rPr>
          <w:rFonts w:ascii="Arial" w:hAnsi="Arial" w:cs="Arial"/>
          <w:bCs/>
          <w:iCs/>
          <w:sz w:val="22"/>
          <w:szCs w:val="22"/>
        </w:rPr>
      </w:pPr>
    </w:p>
    <w:p w:rsidR="008C69A9" w:rsidRDefault="008C69A9" w:rsidP="00244851">
      <w:pPr>
        <w:autoSpaceDE w:val="0"/>
        <w:autoSpaceDN w:val="0"/>
        <w:adjustRightInd w:val="0"/>
        <w:jc w:val="both"/>
        <w:outlineLvl w:val="0"/>
        <w:rPr>
          <w:rFonts w:ascii="Arial" w:hAnsi="Arial" w:cs="Arial"/>
          <w:bCs/>
          <w:iCs/>
          <w:sz w:val="22"/>
          <w:szCs w:val="22"/>
        </w:rPr>
      </w:pPr>
    </w:p>
    <w:p w:rsidR="008C69A9" w:rsidRDefault="008C69A9" w:rsidP="00244851">
      <w:pPr>
        <w:autoSpaceDE w:val="0"/>
        <w:autoSpaceDN w:val="0"/>
        <w:adjustRightInd w:val="0"/>
        <w:jc w:val="both"/>
        <w:outlineLvl w:val="0"/>
        <w:rPr>
          <w:rFonts w:ascii="Arial" w:hAnsi="Arial" w:cs="Arial"/>
          <w:bCs/>
          <w:iCs/>
          <w:sz w:val="22"/>
          <w:szCs w:val="22"/>
        </w:rPr>
      </w:pPr>
    </w:p>
    <w:p w:rsidR="00C1645A" w:rsidRDefault="00C1645A" w:rsidP="00244851">
      <w:pPr>
        <w:autoSpaceDE w:val="0"/>
        <w:autoSpaceDN w:val="0"/>
        <w:adjustRightInd w:val="0"/>
        <w:jc w:val="both"/>
        <w:outlineLvl w:val="0"/>
        <w:rPr>
          <w:rFonts w:ascii="Arial" w:hAnsi="Arial" w:cs="Arial"/>
          <w:bCs/>
          <w:iCs/>
          <w:sz w:val="22"/>
          <w:szCs w:val="22"/>
        </w:rPr>
      </w:pPr>
    </w:p>
    <w:p w:rsidR="006E3C49" w:rsidRPr="006E3C49" w:rsidRDefault="006E3C49" w:rsidP="006E3C49">
      <w:pPr>
        <w:rPr>
          <w:rFonts w:ascii="Arial" w:hAnsi="Arial" w:cs="Arial"/>
          <w:b/>
          <w:bCs/>
          <w:sz w:val="22"/>
          <w:szCs w:val="22"/>
        </w:rPr>
      </w:pPr>
      <w:r w:rsidRPr="006E3C49">
        <w:rPr>
          <w:rFonts w:ascii="Arial" w:hAnsi="Arial" w:cs="Arial"/>
          <w:b/>
          <w:bCs/>
          <w:sz w:val="22"/>
          <w:szCs w:val="22"/>
        </w:rPr>
        <w:lastRenderedPageBreak/>
        <w:t xml:space="preserve">2. Administrativní náklady a efektivnost administrativních nákladů v oblasti SPED </w:t>
      </w:r>
    </w:p>
    <w:p w:rsidR="006E3C49" w:rsidRPr="006E3C49" w:rsidRDefault="006E3C49" w:rsidP="006E3C49">
      <w:pPr>
        <w:rPr>
          <w:rFonts w:ascii="Arial" w:hAnsi="Arial" w:cs="Arial"/>
          <w:bCs/>
          <w:sz w:val="22"/>
          <w:szCs w:val="22"/>
        </w:rPr>
      </w:pPr>
      <w:r>
        <w:rPr>
          <w:rFonts w:ascii="Arial" w:hAnsi="Arial" w:cs="Arial"/>
          <w:bCs/>
          <w:sz w:val="22"/>
          <w:szCs w:val="22"/>
        </w:rPr>
        <w:t xml:space="preserve">    </w:t>
      </w:r>
      <w:r w:rsidRPr="006E3C49">
        <w:rPr>
          <w:rFonts w:ascii="Arial" w:hAnsi="Arial" w:cs="Arial"/>
          <w:bCs/>
          <w:sz w:val="22"/>
          <w:szCs w:val="22"/>
        </w:rPr>
        <w:t>(str. 5 Kontrolního závěru)</w:t>
      </w:r>
    </w:p>
    <w:p w:rsidR="00453266" w:rsidRDefault="00453266" w:rsidP="00244851">
      <w:pPr>
        <w:jc w:val="both"/>
        <w:rPr>
          <w:rFonts w:ascii="Arial" w:hAnsi="Arial" w:cs="Arial"/>
          <w:bCs/>
          <w:i/>
          <w:iCs/>
          <w:sz w:val="22"/>
          <w:szCs w:val="22"/>
          <w:u w:val="single"/>
        </w:rPr>
      </w:pPr>
    </w:p>
    <w:p w:rsidR="00E67D42" w:rsidRPr="00E67D42" w:rsidRDefault="00E67D42" w:rsidP="00244851">
      <w:pPr>
        <w:jc w:val="both"/>
        <w:rPr>
          <w:rFonts w:ascii="Arial" w:hAnsi="Arial" w:cs="Arial"/>
          <w:bCs/>
          <w:i/>
          <w:iCs/>
          <w:sz w:val="22"/>
          <w:szCs w:val="22"/>
          <w:u w:val="single"/>
        </w:rPr>
      </w:pPr>
      <w:r w:rsidRPr="00261D54">
        <w:rPr>
          <w:rFonts w:ascii="Arial" w:hAnsi="Arial" w:cs="Arial"/>
          <w:bCs/>
          <w:i/>
          <w:iCs/>
          <w:sz w:val="22"/>
          <w:szCs w:val="22"/>
          <w:u w:val="single"/>
        </w:rPr>
        <w:t>Zjištění NKÚ:</w:t>
      </w:r>
    </w:p>
    <w:p w:rsidR="006E3C49" w:rsidRPr="006E3C49" w:rsidRDefault="006E3C49" w:rsidP="006E3C49">
      <w:pPr>
        <w:jc w:val="both"/>
        <w:rPr>
          <w:rFonts w:ascii="Arial" w:hAnsi="Arial" w:cs="Arial"/>
          <w:bCs/>
          <w:i/>
          <w:sz w:val="22"/>
          <w:szCs w:val="22"/>
        </w:rPr>
      </w:pPr>
      <w:r>
        <w:rPr>
          <w:rFonts w:ascii="Arial" w:hAnsi="Arial" w:cs="Arial"/>
          <w:bCs/>
          <w:i/>
          <w:sz w:val="22"/>
          <w:szCs w:val="22"/>
        </w:rPr>
        <w:t>„</w:t>
      </w:r>
      <w:r w:rsidRPr="006E3C49">
        <w:rPr>
          <w:rFonts w:ascii="Arial" w:hAnsi="Arial" w:cs="Arial"/>
          <w:bCs/>
          <w:i/>
          <w:sz w:val="22"/>
          <w:szCs w:val="22"/>
        </w:rPr>
        <w:t>Efektivnost administrativních nákladů odráží vzájemný vztah mezi příjmy ze SPED a</w:t>
      </w:r>
      <w:r w:rsidR="002C6333">
        <w:rPr>
          <w:rFonts w:ascii="Arial" w:hAnsi="Arial" w:cs="Arial"/>
          <w:bCs/>
          <w:i/>
          <w:sz w:val="22"/>
          <w:szCs w:val="22"/>
        </w:rPr>
        <w:t> </w:t>
      </w:r>
      <w:r w:rsidRPr="006E3C49">
        <w:rPr>
          <w:rFonts w:ascii="Arial" w:hAnsi="Arial" w:cs="Arial"/>
          <w:bCs/>
          <w:i/>
          <w:sz w:val="22"/>
          <w:szCs w:val="22"/>
        </w:rPr>
        <w:t>souvisejícími výdaji, tj. vyjadřuje výši výdajů na 100 Kč příjmů. Čím je výsledná hodnota vyšší, tím je efektivnost administrativních nákladů nižší. Výpočet efektivnosti administrativních nákladů na správu SPED byl proveden (viz příloha tohoto kontrolního závěru) v metodě A tak, že výdaje na jednu Kč celkových daňových příjmů byly vynásobeny výší příjmů SPED s tím, že ve variantě č. 1 bylo kalkulováno s celkovými výdaji za CS ČR a</w:t>
      </w:r>
      <w:r w:rsidR="002C6333">
        <w:rPr>
          <w:rFonts w:ascii="Arial" w:hAnsi="Arial" w:cs="Arial"/>
          <w:bCs/>
          <w:i/>
          <w:sz w:val="22"/>
          <w:szCs w:val="22"/>
        </w:rPr>
        <w:t> </w:t>
      </w:r>
      <w:r w:rsidRPr="006E3C49">
        <w:rPr>
          <w:rFonts w:ascii="Arial" w:hAnsi="Arial" w:cs="Arial"/>
          <w:bCs/>
          <w:i/>
          <w:sz w:val="22"/>
          <w:szCs w:val="22"/>
        </w:rPr>
        <w:t xml:space="preserve">FS ČR13 a ve variantě č. 2 pouze s výdaji za CS ČR. V metodě B NKÚ zjistil počty zaměstnanců podílejících se na správě SPED. Ve variantě č. 1 se jednalo o počty zaměstnanců FTE, ve variantě č. 2 a ve variantě č. 3 se jednalo o počty liniově řízených zaměstnanců. Průměrné vynaložené výdaje na jednoho zaměstnance byly vynásobeny počtem zaměstnanců podílejících se na správě SPED.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NKÚ zjištěná efektivnost administrativních nákladů správy SPED se v závislosti na zvolené metodě a variantě výpočtu pohybovala v roce 2015 od 0,45 Kč do 2,94 Kč výdajů na 100 Kč příjmů. V nejpřesnější metodě výpočtu (varianta 1 metody B – počty zaměstnanců dle docházky FTE) dosáhla v roce 2015 hodnoty 0,73 Kč / 100 Kč příjmů. Oproti tomu podle závěrečného účtu kapitoly 312 – Ministerstvo financí (dále také „ZÚ MF“) výdaje na 100 Kč příjmů vybraných FS ČR dosahovaly 1,38 Kč. Na celkových daňových příjmech vybraných FS ČR a CS ČR se příjmy SPED podílely z cca 18 %, avšak na celkových výdajích CS ČR a</w:t>
      </w:r>
      <w:r w:rsidR="002C6333">
        <w:rPr>
          <w:rFonts w:ascii="Arial" w:hAnsi="Arial" w:cs="Arial"/>
          <w:bCs/>
          <w:i/>
          <w:sz w:val="22"/>
          <w:szCs w:val="22"/>
        </w:rPr>
        <w:t> </w:t>
      </w:r>
      <w:r w:rsidRPr="006E3C49">
        <w:rPr>
          <w:rFonts w:ascii="Arial" w:hAnsi="Arial" w:cs="Arial"/>
          <w:bCs/>
          <w:i/>
          <w:sz w:val="22"/>
          <w:szCs w:val="22"/>
        </w:rPr>
        <w:t>FS ČR se výdaje na správu SPED podílely pouze z 8 %. Bez ohledu na zvolenou metodu a</w:t>
      </w:r>
      <w:r w:rsidR="002C6333">
        <w:rPr>
          <w:rFonts w:ascii="Arial" w:hAnsi="Arial" w:cs="Arial"/>
          <w:bCs/>
          <w:i/>
          <w:sz w:val="22"/>
          <w:szCs w:val="22"/>
        </w:rPr>
        <w:t> </w:t>
      </w:r>
      <w:r w:rsidRPr="006E3C49">
        <w:rPr>
          <w:rFonts w:ascii="Arial" w:hAnsi="Arial" w:cs="Arial"/>
          <w:bCs/>
          <w:i/>
          <w:sz w:val="22"/>
          <w:szCs w:val="22"/>
        </w:rPr>
        <w:t>variantu výpočtu je zřejmé, že v období let 2013–2015 došlo v této oblasti k poklesu efektivnosti administrativních výdajů.</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 xml:space="preserve">NKÚ zjistil, že v letech 2012–2015 průměrně na jeden daňový subjekt (s vydaným povolením nebo registrací k určité činnosti) připadalo ročně 1,7 daňových kontrol nebo místních šetření orgánů CS ČR. Mimo uvedené kontroly provádí CS ČR další kontrolní úkony, např. vyhodnocuje záznamy ze sledovacích zařízení u osob povinných značit líh, vyhledává konečná prodejní místa vybraných výrobků (dále také „v. v.“), provádí dohled nad přepravou v. v., vyhodnocuje hlášení o nakládání s v. v. V letech 2013–2015 se na vyměření daně podílelo 167 zaměstnanců CS ČR, kteří zpracovali průměrně cca 664 daňových tvrzení. </w:t>
      </w:r>
    </w:p>
    <w:p w:rsidR="006E3C49" w:rsidRPr="00CC2666" w:rsidRDefault="006E3C49" w:rsidP="006E3C49">
      <w:pPr>
        <w:jc w:val="both"/>
        <w:rPr>
          <w:rFonts w:ascii="Arial" w:hAnsi="Arial" w:cs="Arial"/>
          <w:b/>
          <w:bCs/>
          <w:i/>
          <w:sz w:val="22"/>
          <w:szCs w:val="22"/>
        </w:rPr>
      </w:pPr>
      <w:r w:rsidRPr="00261D54">
        <w:rPr>
          <w:rFonts w:ascii="Arial" w:hAnsi="Arial" w:cs="Arial"/>
          <w:b/>
          <w:bCs/>
          <w:i/>
          <w:sz w:val="22"/>
          <w:szCs w:val="22"/>
        </w:rPr>
        <w:t xml:space="preserve">Po posouzení a zohlednění četnosti a úrovně kontrolní činnosti a dohledu nad daňovými subjekty a posouzení dosažených příjmů ze SPED a výše výdajů vynaložených na správu těchto daní </w:t>
      </w:r>
      <w:r w:rsidRPr="00261D54">
        <w:rPr>
          <w:rFonts w:ascii="Arial" w:hAnsi="Arial" w:cs="Arial"/>
          <w:b/>
          <w:bCs/>
          <w:i/>
          <w:sz w:val="22"/>
          <w:szCs w:val="22"/>
          <w:u w:val="single"/>
        </w:rPr>
        <w:t>vyhodnotil NKÚ správu SPED jako efektivní</w:t>
      </w:r>
      <w:r w:rsidRPr="00261D54">
        <w:rPr>
          <w:rFonts w:ascii="Arial" w:hAnsi="Arial" w:cs="Arial"/>
          <w:b/>
          <w:bCs/>
          <w:i/>
          <w:sz w:val="22"/>
          <w:szCs w:val="22"/>
        </w:rPr>
        <w:t>.</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Pro mezinárodní porovnání efektivnosti správy daně (případně činnosti CS ČR) jsou nutné podrobné údaje o orgánu zajišťujícím správu daně v členění dle jednotlivých kompetencí se zohledněním zejména: celkového právního rámce, věcné náplně organizace, sazby daní, struktury a počtu daňových subjektů, pracovního postavení zaměstnanců vykonávajících správu daně, úrovně daňového dohledu. Při mezinárodním hodnocení daňového systému ČR za použití souhrnných výdajů za CS ČR a FS ČR dochází ke zkreslení efektivnosti v</w:t>
      </w:r>
      <w:r w:rsidR="002C6333">
        <w:rPr>
          <w:rFonts w:ascii="Arial" w:hAnsi="Arial" w:cs="Arial"/>
          <w:bCs/>
          <w:i/>
          <w:sz w:val="22"/>
          <w:szCs w:val="22"/>
        </w:rPr>
        <w:t> </w:t>
      </w:r>
      <w:r w:rsidRPr="006E3C49">
        <w:rPr>
          <w:rFonts w:ascii="Arial" w:hAnsi="Arial" w:cs="Arial"/>
          <w:bCs/>
          <w:i/>
          <w:sz w:val="22"/>
          <w:szCs w:val="22"/>
        </w:rPr>
        <w:t xml:space="preserve">neprospěch daňového systému ČR, neboť obě soustavy správních orgánů vykonávají řadu nefiskálních agend (zejména CS ČR).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Správa SPED je jednou ze tří základních kompetencí (celnictví, správa daní, pátrání), pro které byla CS ČR zřízena. Z celkového počtu zaměstnanců CS ČR vykonávalo správu SPED 24,5 % zaměstnanců FTE.</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Celkovou nákladovost CS ČR zvyšuje rozsah kompetencí, které CS ČR vykonává. Nedostatečné rozdělení nákladů CS ČR podle vykonávaných kompetencí omezuje možnost určit nákladovost jednotlivých kompetencí a nezbývá než použít kvalifikované odhady a</w:t>
      </w:r>
      <w:r w:rsidR="002C6333">
        <w:rPr>
          <w:rFonts w:ascii="Arial" w:hAnsi="Arial" w:cs="Arial"/>
          <w:bCs/>
          <w:i/>
          <w:sz w:val="22"/>
          <w:szCs w:val="22"/>
        </w:rPr>
        <w:t> </w:t>
      </w:r>
      <w:r w:rsidRPr="006E3C49">
        <w:rPr>
          <w:rFonts w:ascii="Arial" w:hAnsi="Arial" w:cs="Arial"/>
          <w:bCs/>
          <w:i/>
          <w:sz w:val="22"/>
          <w:szCs w:val="22"/>
        </w:rPr>
        <w:t xml:space="preserve">výpočty.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Celníci svěřené kompetence vykonávají ve služebním poměru příslušníků bezpečnostních sborů dle zákona o služebním poměru příslušníků bezpečnostních sborů, a to i činnosti, které jsou svým charakterem běžným administrativním úkonem, jejž stejnými postupy vykonávají u FS ČR nebo jiných orgánů státní správy zaměstnanci v zaměstnaneckém poměru, resp. zaměstnanci ve služebním poměru dle zákona o státní službě. Jedná se např. o vyměřování daní, daňovou kontrolu, registrační a povolovací řízení, sběr a kontrolu statistických dat o obchodu mezi členskými státy. Výkon těchto činností příslušníky ve</w:t>
      </w:r>
      <w:r w:rsidR="002C6333">
        <w:rPr>
          <w:rFonts w:ascii="Arial" w:hAnsi="Arial" w:cs="Arial"/>
          <w:bCs/>
          <w:i/>
          <w:sz w:val="22"/>
          <w:szCs w:val="22"/>
        </w:rPr>
        <w:t> </w:t>
      </w:r>
      <w:r w:rsidRPr="006E3C49">
        <w:rPr>
          <w:rFonts w:ascii="Arial" w:hAnsi="Arial" w:cs="Arial"/>
          <w:bCs/>
          <w:i/>
          <w:sz w:val="22"/>
          <w:szCs w:val="22"/>
        </w:rPr>
        <w:t>služebním poměru bezpečnostních sborů je z důvodu zákonem přiznaných benefitů a</w:t>
      </w:r>
      <w:r w:rsidR="002C6333">
        <w:rPr>
          <w:rFonts w:ascii="Arial" w:hAnsi="Arial" w:cs="Arial"/>
          <w:bCs/>
          <w:i/>
          <w:sz w:val="22"/>
          <w:szCs w:val="22"/>
        </w:rPr>
        <w:t> </w:t>
      </w:r>
      <w:r w:rsidRPr="006E3C49">
        <w:rPr>
          <w:rFonts w:ascii="Arial" w:hAnsi="Arial" w:cs="Arial"/>
          <w:bCs/>
          <w:i/>
          <w:sz w:val="22"/>
          <w:szCs w:val="22"/>
        </w:rPr>
        <w:t>požadavků na služební přípravu významně nákladnější. Převedením těchto činností do</w:t>
      </w:r>
      <w:r w:rsidR="002C6333">
        <w:rPr>
          <w:rFonts w:ascii="Arial" w:hAnsi="Arial" w:cs="Arial"/>
          <w:bCs/>
          <w:i/>
          <w:sz w:val="22"/>
          <w:szCs w:val="22"/>
        </w:rPr>
        <w:t> </w:t>
      </w:r>
      <w:r w:rsidRPr="006E3C49">
        <w:rPr>
          <w:rFonts w:ascii="Arial" w:hAnsi="Arial" w:cs="Arial"/>
          <w:bCs/>
          <w:i/>
          <w:sz w:val="22"/>
          <w:szCs w:val="22"/>
        </w:rPr>
        <w:t xml:space="preserve">stejného režimu, jako je u FS ČR, by došlo k roční úspoře v oblasti běžných výdajů cca 83,3 mil. Kč, z toho na platech cca 40,6 mil. Kč.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CS ČR mimo jiné vykonává působnost v oblasti ochrany spotřebitele, ochrany práv k</w:t>
      </w:r>
      <w:r w:rsidR="002C6333">
        <w:rPr>
          <w:rFonts w:ascii="Arial" w:hAnsi="Arial" w:cs="Arial"/>
          <w:bCs/>
          <w:i/>
          <w:sz w:val="22"/>
          <w:szCs w:val="22"/>
        </w:rPr>
        <w:t> </w:t>
      </w:r>
      <w:r w:rsidRPr="006E3C49">
        <w:rPr>
          <w:rFonts w:ascii="Arial" w:hAnsi="Arial" w:cs="Arial"/>
          <w:bCs/>
          <w:i/>
          <w:sz w:val="22"/>
          <w:szCs w:val="22"/>
        </w:rPr>
        <w:t>duševnímu vlastnictví a kontroly zaměstnávání cizinců. Tyto činnosti vykonává sdíleně s</w:t>
      </w:r>
      <w:r w:rsidR="002C6333">
        <w:rPr>
          <w:rFonts w:ascii="Arial" w:hAnsi="Arial" w:cs="Arial"/>
          <w:bCs/>
          <w:i/>
          <w:sz w:val="22"/>
          <w:szCs w:val="22"/>
        </w:rPr>
        <w:t> </w:t>
      </w:r>
      <w:r w:rsidRPr="006E3C49">
        <w:rPr>
          <w:rFonts w:ascii="Arial" w:hAnsi="Arial" w:cs="Arial"/>
          <w:bCs/>
          <w:i/>
          <w:sz w:val="22"/>
          <w:szCs w:val="22"/>
        </w:rPr>
        <w:t xml:space="preserve">jinými orgány státní správy a doplňuje výkon činností jiných orgánů státní správy, které byly pro výkon těchto kompetencí zřízeny. Rozsah činností (kompetencí) a výkon sdílených kompetencí vykonávaných CS ČR mimo hlavní činnosti CS ČR zvyšuje nároky na personální zdroje, na odbornou přípravu zaměstnanců CS ČR, metodickou a koordinační podporu, nákladovost CS ČR a také rozmělňuje personální kapacity CS ČR na úkor hlavních činností CS ČR. Tyto činnosti tak musí být zajišťovány u CS ČR i u organizace, která byla pro výkon sdílených činností zřízena (jsou pro ni hlavní činností).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 xml:space="preserve">V případě výkonu sdílených činností současně s výkonem hlavních činností (souběhu kontrolních činností), tedy i správou SPED, však dochází k úsporám nákladů z rozsahu, neboť veřejná správa nemusí vynakládat výdaje na postavení kontrolní skupiny pro každý předmět kontroly samostatně. Současně dochází ke snížení administrativní zátěže kontrolovaných osob opakovanou kontrolou. </w:t>
      </w:r>
      <w:r w:rsidRPr="00CC2666">
        <w:rPr>
          <w:rFonts w:ascii="Arial" w:hAnsi="Arial" w:cs="Arial"/>
          <w:b/>
          <w:bCs/>
          <w:i/>
          <w:sz w:val="22"/>
          <w:szCs w:val="22"/>
        </w:rPr>
        <w:t>Popsaný stav ve výkonu sdílených kompetencí znemožňuje stanovit jejich nákladovost a efektivitu</w:t>
      </w:r>
      <w:r w:rsidRPr="006E3C49">
        <w:rPr>
          <w:rFonts w:ascii="Arial" w:hAnsi="Arial" w:cs="Arial"/>
          <w:bCs/>
          <w:i/>
          <w:sz w:val="22"/>
          <w:szCs w:val="22"/>
        </w:rPr>
        <w:t>.</w:t>
      </w:r>
      <w:r>
        <w:rPr>
          <w:rFonts w:ascii="Arial" w:hAnsi="Arial" w:cs="Arial"/>
          <w:bCs/>
          <w:i/>
          <w:sz w:val="22"/>
          <w:szCs w:val="22"/>
        </w:rPr>
        <w:t>“</w:t>
      </w:r>
    </w:p>
    <w:p w:rsidR="00E67D42" w:rsidRDefault="00E67D42" w:rsidP="00244851">
      <w:pPr>
        <w:autoSpaceDE w:val="0"/>
        <w:autoSpaceDN w:val="0"/>
        <w:adjustRightInd w:val="0"/>
        <w:jc w:val="both"/>
        <w:outlineLvl w:val="0"/>
        <w:rPr>
          <w:rFonts w:ascii="Arial" w:hAnsi="Arial" w:cs="Arial"/>
          <w:bCs/>
          <w:i/>
          <w:iCs/>
          <w:sz w:val="22"/>
          <w:szCs w:val="22"/>
        </w:rPr>
      </w:pPr>
    </w:p>
    <w:p w:rsidR="000C73FA" w:rsidRPr="004D4E28" w:rsidRDefault="006E3C49" w:rsidP="000C73FA">
      <w:pPr>
        <w:autoSpaceDE w:val="0"/>
        <w:autoSpaceDN w:val="0"/>
        <w:adjustRightInd w:val="0"/>
        <w:jc w:val="both"/>
        <w:outlineLvl w:val="0"/>
        <w:rPr>
          <w:rFonts w:ascii="Arial" w:hAnsi="Arial" w:cs="Arial"/>
          <w:bCs/>
          <w:iCs/>
          <w:sz w:val="22"/>
          <w:szCs w:val="22"/>
          <w:u w:val="single"/>
        </w:rPr>
      </w:pPr>
      <w:r w:rsidRPr="00261D54">
        <w:rPr>
          <w:rFonts w:ascii="Arial" w:hAnsi="Arial" w:cs="Arial"/>
          <w:bCs/>
          <w:iCs/>
          <w:sz w:val="22"/>
          <w:szCs w:val="22"/>
          <w:u w:val="single"/>
        </w:rPr>
        <w:t>Stanovisko G</w:t>
      </w:r>
      <w:r w:rsidR="000C73FA" w:rsidRPr="00261D54">
        <w:rPr>
          <w:rFonts w:ascii="Arial" w:hAnsi="Arial" w:cs="Arial"/>
          <w:bCs/>
          <w:iCs/>
          <w:sz w:val="22"/>
          <w:szCs w:val="22"/>
          <w:u w:val="single"/>
        </w:rPr>
        <w:t>Ř</w:t>
      </w:r>
      <w:r w:rsidRPr="00261D54">
        <w:rPr>
          <w:rFonts w:ascii="Arial" w:hAnsi="Arial" w:cs="Arial"/>
          <w:bCs/>
          <w:iCs/>
          <w:sz w:val="22"/>
          <w:szCs w:val="22"/>
          <w:u w:val="single"/>
        </w:rPr>
        <w:t>C</w:t>
      </w:r>
      <w:r w:rsidR="000C73FA" w:rsidRPr="00261D54">
        <w:rPr>
          <w:rFonts w:ascii="Arial" w:hAnsi="Arial" w:cs="Arial"/>
          <w:bCs/>
          <w:iCs/>
          <w:sz w:val="22"/>
          <w:szCs w:val="22"/>
          <w:u w:val="single"/>
        </w:rPr>
        <w:t>:</w:t>
      </w:r>
    </w:p>
    <w:p w:rsidR="008C69A9" w:rsidRPr="00914F63" w:rsidRDefault="00E03962" w:rsidP="00DD5DD5">
      <w:pPr>
        <w:jc w:val="both"/>
        <w:rPr>
          <w:rFonts w:ascii="Arial" w:hAnsi="Arial" w:cs="Arial"/>
          <w:bCs/>
          <w:iCs/>
          <w:sz w:val="22"/>
          <w:szCs w:val="22"/>
        </w:rPr>
      </w:pPr>
      <w:r w:rsidRPr="00914F63">
        <w:rPr>
          <w:rFonts w:ascii="Arial" w:hAnsi="Arial" w:cs="Arial"/>
          <w:bCs/>
          <w:iCs/>
          <w:sz w:val="22"/>
          <w:szCs w:val="22"/>
        </w:rPr>
        <w:t xml:space="preserve">Výkonem služby se podle </w:t>
      </w:r>
      <w:r w:rsidR="00904DFB" w:rsidRPr="00914F63">
        <w:rPr>
          <w:rFonts w:ascii="Arial" w:hAnsi="Arial" w:cs="Arial"/>
          <w:bCs/>
          <w:iCs/>
          <w:sz w:val="22"/>
          <w:szCs w:val="22"/>
        </w:rPr>
        <w:t>§</w:t>
      </w:r>
      <w:r w:rsidR="00983BE4" w:rsidRPr="00914F63">
        <w:rPr>
          <w:rFonts w:ascii="Arial" w:hAnsi="Arial" w:cs="Arial"/>
          <w:bCs/>
          <w:iCs/>
          <w:sz w:val="22"/>
          <w:szCs w:val="22"/>
        </w:rPr>
        <w:t xml:space="preserve"> </w:t>
      </w:r>
      <w:r w:rsidR="00904DFB" w:rsidRPr="00914F63">
        <w:rPr>
          <w:rFonts w:ascii="Arial" w:hAnsi="Arial" w:cs="Arial"/>
          <w:bCs/>
          <w:iCs/>
          <w:sz w:val="22"/>
          <w:szCs w:val="22"/>
        </w:rPr>
        <w:t xml:space="preserve">1 odst. 4 písm. a) </w:t>
      </w:r>
      <w:r w:rsidRPr="00914F63">
        <w:rPr>
          <w:rFonts w:ascii="Arial" w:hAnsi="Arial" w:cs="Arial"/>
          <w:bCs/>
          <w:iCs/>
          <w:sz w:val="22"/>
          <w:szCs w:val="22"/>
        </w:rPr>
        <w:t>zákona č. 361/2003 Sb., o služebním poměru příslušníků bezpečnostních sborů</w:t>
      </w:r>
      <w:r w:rsidR="00E16046">
        <w:rPr>
          <w:rFonts w:ascii="Arial" w:hAnsi="Arial" w:cs="Arial"/>
          <w:bCs/>
          <w:iCs/>
          <w:sz w:val="22"/>
          <w:szCs w:val="22"/>
        </w:rPr>
        <w:t xml:space="preserve">, se </w:t>
      </w:r>
      <w:r w:rsidRPr="00914F63">
        <w:rPr>
          <w:rFonts w:ascii="Arial" w:hAnsi="Arial" w:cs="Arial"/>
          <w:bCs/>
          <w:iCs/>
          <w:sz w:val="22"/>
          <w:szCs w:val="22"/>
        </w:rPr>
        <w:t>rozumí úkony a činnosti realizující oprávnění a</w:t>
      </w:r>
      <w:r w:rsidR="00DD5DD5" w:rsidRPr="00914F63">
        <w:rPr>
          <w:rFonts w:ascii="Arial" w:hAnsi="Arial" w:cs="Arial"/>
          <w:bCs/>
          <w:iCs/>
          <w:sz w:val="22"/>
          <w:szCs w:val="22"/>
        </w:rPr>
        <w:t> </w:t>
      </w:r>
      <w:r w:rsidRPr="00914F63">
        <w:rPr>
          <w:rFonts w:ascii="Arial" w:hAnsi="Arial" w:cs="Arial"/>
          <w:bCs/>
          <w:iCs/>
          <w:sz w:val="22"/>
          <w:szCs w:val="22"/>
        </w:rPr>
        <w:t>povinnosti stanovené právními předpisy upravujícími působnost bezpečnostních sborů. Právní předpis, který stanoví věcnou působnost Celní správy České republiky v oblasti daní</w:t>
      </w:r>
      <w:r w:rsidR="00904DFB" w:rsidRPr="00914F63">
        <w:rPr>
          <w:rFonts w:ascii="Arial" w:hAnsi="Arial" w:cs="Arial"/>
          <w:bCs/>
          <w:iCs/>
          <w:sz w:val="22"/>
          <w:szCs w:val="22"/>
        </w:rPr>
        <w:t>,</w:t>
      </w:r>
      <w:r w:rsidRPr="00914F63">
        <w:rPr>
          <w:rFonts w:ascii="Arial" w:hAnsi="Arial" w:cs="Arial"/>
          <w:bCs/>
          <w:iCs/>
          <w:sz w:val="22"/>
          <w:szCs w:val="22"/>
        </w:rPr>
        <w:t xml:space="preserve"> </w:t>
      </w:r>
      <w:r w:rsidR="00904DFB" w:rsidRPr="00914F63">
        <w:rPr>
          <w:rFonts w:ascii="Arial" w:hAnsi="Arial" w:cs="Arial"/>
          <w:bCs/>
          <w:iCs/>
          <w:sz w:val="22"/>
          <w:szCs w:val="22"/>
        </w:rPr>
        <w:t>pře</w:t>
      </w:r>
      <w:r w:rsidR="00983BE4" w:rsidRPr="00914F63">
        <w:rPr>
          <w:rFonts w:ascii="Arial" w:hAnsi="Arial" w:cs="Arial"/>
          <w:bCs/>
          <w:iCs/>
          <w:sz w:val="22"/>
          <w:szCs w:val="22"/>
        </w:rPr>
        <w:t>d</w:t>
      </w:r>
      <w:r w:rsidR="00904DFB" w:rsidRPr="00914F63">
        <w:rPr>
          <w:rFonts w:ascii="Arial" w:hAnsi="Arial" w:cs="Arial"/>
          <w:bCs/>
          <w:iCs/>
          <w:sz w:val="22"/>
          <w:szCs w:val="22"/>
        </w:rPr>
        <w:t>stavu</w:t>
      </w:r>
      <w:r w:rsidRPr="00914F63">
        <w:rPr>
          <w:rFonts w:ascii="Arial" w:hAnsi="Arial" w:cs="Arial"/>
          <w:bCs/>
          <w:iCs/>
          <w:sz w:val="22"/>
          <w:szCs w:val="22"/>
        </w:rPr>
        <w:t>je zákon č. 17/2012 Sb., o Celní správě České republiky</w:t>
      </w:r>
      <w:r w:rsidR="00904DFB" w:rsidRPr="00914F63">
        <w:rPr>
          <w:rFonts w:ascii="Arial" w:hAnsi="Arial" w:cs="Arial"/>
          <w:bCs/>
          <w:iCs/>
          <w:sz w:val="22"/>
          <w:szCs w:val="22"/>
        </w:rPr>
        <w:t>.</w:t>
      </w:r>
      <w:r w:rsidRPr="00914F63">
        <w:rPr>
          <w:rFonts w:ascii="Arial" w:hAnsi="Arial" w:cs="Arial"/>
          <w:bCs/>
          <w:iCs/>
          <w:sz w:val="22"/>
          <w:szCs w:val="22"/>
        </w:rPr>
        <w:t xml:space="preserve"> </w:t>
      </w:r>
      <w:r w:rsidR="00904DFB" w:rsidRPr="00914F63">
        <w:rPr>
          <w:rFonts w:ascii="Arial" w:hAnsi="Arial" w:cs="Arial"/>
          <w:bCs/>
          <w:iCs/>
          <w:sz w:val="22"/>
          <w:szCs w:val="22"/>
        </w:rPr>
        <w:t xml:space="preserve"> Jeho</w:t>
      </w:r>
      <w:r w:rsidRPr="00914F63">
        <w:rPr>
          <w:rFonts w:ascii="Arial" w:hAnsi="Arial" w:cs="Arial"/>
          <w:bCs/>
          <w:iCs/>
          <w:sz w:val="22"/>
          <w:szCs w:val="22"/>
        </w:rPr>
        <w:t xml:space="preserve"> ustanovení §</w:t>
      </w:r>
      <w:r w:rsidR="00983BE4" w:rsidRPr="00914F63">
        <w:rPr>
          <w:rFonts w:ascii="Arial" w:hAnsi="Arial" w:cs="Arial"/>
          <w:bCs/>
          <w:iCs/>
          <w:sz w:val="22"/>
          <w:szCs w:val="22"/>
        </w:rPr>
        <w:t xml:space="preserve"> </w:t>
      </w:r>
      <w:r w:rsidRPr="00914F63">
        <w:rPr>
          <w:rFonts w:ascii="Arial" w:hAnsi="Arial" w:cs="Arial"/>
          <w:bCs/>
          <w:iCs/>
          <w:sz w:val="22"/>
          <w:szCs w:val="22"/>
        </w:rPr>
        <w:t xml:space="preserve">8 odst. 1 písm. c) </w:t>
      </w:r>
      <w:r w:rsidR="005D6476" w:rsidRPr="00914F63">
        <w:rPr>
          <w:rFonts w:ascii="Arial" w:hAnsi="Arial" w:cs="Arial"/>
          <w:bCs/>
          <w:iCs/>
          <w:sz w:val="22"/>
          <w:szCs w:val="22"/>
        </w:rPr>
        <w:t>odkazuje</w:t>
      </w:r>
      <w:r w:rsidR="008C69A9" w:rsidRPr="00914F63">
        <w:rPr>
          <w:rFonts w:ascii="Arial" w:hAnsi="Arial" w:cs="Arial"/>
          <w:bCs/>
          <w:iCs/>
          <w:sz w:val="22"/>
          <w:szCs w:val="22"/>
        </w:rPr>
        <w:t xml:space="preserve"> </w:t>
      </w:r>
      <w:r w:rsidR="005D6476" w:rsidRPr="00914F63">
        <w:rPr>
          <w:rFonts w:ascii="Arial" w:hAnsi="Arial" w:cs="Arial"/>
          <w:bCs/>
          <w:iCs/>
          <w:sz w:val="22"/>
          <w:szCs w:val="22"/>
        </w:rPr>
        <w:t xml:space="preserve">na </w:t>
      </w:r>
      <w:r w:rsidR="008C69A9" w:rsidRPr="00914F63">
        <w:rPr>
          <w:rFonts w:ascii="Arial" w:hAnsi="Arial" w:cs="Arial"/>
          <w:bCs/>
          <w:iCs/>
          <w:sz w:val="22"/>
          <w:szCs w:val="22"/>
        </w:rPr>
        <w:t>zvláštní předpisy</w:t>
      </w:r>
      <w:r w:rsidR="005D6476" w:rsidRPr="00914F63">
        <w:rPr>
          <w:rFonts w:ascii="Arial" w:hAnsi="Arial" w:cs="Arial"/>
          <w:bCs/>
          <w:iCs/>
          <w:sz w:val="22"/>
          <w:szCs w:val="22"/>
        </w:rPr>
        <w:t>, kterými</w:t>
      </w:r>
      <w:r w:rsidR="008C69A9" w:rsidRPr="00914F63">
        <w:rPr>
          <w:rFonts w:ascii="Arial" w:hAnsi="Arial" w:cs="Arial"/>
          <w:bCs/>
          <w:iCs/>
          <w:sz w:val="22"/>
          <w:szCs w:val="22"/>
        </w:rPr>
        <w:t xml:space="preserve"> jsou zákon č. 353/2003 Sb., o</w:t>
      </w:r>
      <w:r w:rsidR="00E16046">
        <w:rPr>
          <w:rFonts w:ascii="Arial" w:hAnsi="Arial" w:cs="Arial"/>
          <w:bCs/>
          <w:iCs/>
          <w:sz w:val="22"/>
          <w:szCs w:val="22"/>
        </w:rPr>
        <w:t> </w:t>
      </w:r>
      <w:r w:rsidR="008C69A9" w:rsidRPr="00914F63">
        <w:rPr>
          <w:rFonts w:ascii="Arial" w:hAnsi="Arial" w:cs="Arial"/>
          <w:bCs/>
          <w:iCs/>
          <w:sz w:val="22"/>
          <w:szCs w:val="22"/>
        </w:rPr>
        <w:t>spotřebních daních</w:t>
      </w:r>
      <w:r w:rsidR="005D6476" w:rsidRPr="00914F63">
        <w:rPr>
          <w:rFonts w:ascii="Arial" w:hAnsi="Arial" w:cs="Arial"/>
          <w:bCs/>
          <w:iCs/>
          <w:sz w:val="22"/>
          <w:szCs w:val="22"/>
        </w:rPr>
        <w:t>,</w:t>
      </w:r>
      <w:r w:rsidR="008C69A9" w:rsidRPr="00914F63">
        <w:rPr>
          <w:rFonts w:ascii="Arial" w:hAnsi="Arial" w:cs="Arial"/>
          <w:bCs/>
          <w:iCs/>
          <w:sz w:val="22"/>
          <w:szCs w:val="22"/>
        </w:rPr>
        <w:t xml:space="preserve"> a zákon č. 261/2007 Sb., o stabilizaci veřejných rozpočtů</w:t>
      </w:r>
      <w:r w:rsidR="005D6476" w:rsidRPr="00914F63">
        <w:rPr>
          <w:rFonts w:ascii="Arial" w:hAnsi="Arial" w:cs="Arial"/>
          <w:bCs/>
          <w:iCs/>
          <w:sz w:val="22"/>
          <w:szCs w:val="22"/>
        </w:rPr>
        <w:t>, jenž stanovují celnímu úřadu povinnost vykonávat správu daní a jiných peněžitých plnění</w:t>
      </w:r>
      <w:r w:rsidR="008C69A9" w:rsidRPr="00914F63">
        <w:rPr>
          <w:rFonts w:ascii="Arial" w:hAnsi="Arial" w:cs="Arial"/>
          <w:bCs/>
          <w:iCs/>
          <w:sz w:val="22"/>
          <w:szCs w:val="22"/>
        </w:rPr>
        <w:t>.</w:t>
      </w:r>
    </w:p>
    <w:p w:rsidR="00AC7493" w:rsidRPr="00914F63" w:rsidRDefault="00AC7493" w:rsidP="00261D54">
      <w:pPr>
        <w:spacing w:before="100" w:beforeAutospacing="1" w:after="100" w:afterAutospacing="1"/>
        <w:jc w:val="both"/>
        <w:rPr>
          <w:rFonts w:ascii="Arial" w:hAnsi="Arial" w:cs="Arial"/>
          <w:sz w:val="22"/>
          <w:szCs w:val="22"/>
        </w:rPr>
      </w:pPr>
      <w:r w:rsidRPr="00914F63">
        <w:rPr>
          <w:rFonts w:ascii="Arial" w:hAnsi="Arial" w:cs="Arial"/>
          <w:sz w:val="22"/>
          <w:szCs w:val="22"/>
        </w:rPr>
        <w:t>Podle ust</w:t>
      </w:r>
      <w:r w:rsidR="000502F8" w:rsidRPr="00914F63">
        <w:rPr>
          <w:rFonts w:ascii="Arial" w:hAnsi="Arial" w:cs="Arial"/>
          <w:sz w:val="22"/>
          <w:szCs w:val="22"/>
        </w:rPr>
        <w:t>anovení</w:t>
      </w:r>
      <w:r w:rsidRPr="00914F63">
        <w:rPr>
          <w:rFonts w:ascii="Arial" w:hAnsi="Arial" w:cs="Arial"/>
          <w:sz w:val="22"/>
          <w:szCs w:val="22"/>
        </w:rPr>
        <w:t xml:space="preserve"> § 1 zákona č. 17/2012 Sb., o Celní správě ČR, o</w:t>
      </w:r>
      <w:r w:rsidRPr="00914F63">
        <w:rPr>
          <w:rFonts w:ascii="Arial" w:hAnsi="Arial" w:cs="Arial"/>
          <w:bCs/>
          <w:sz w:val="22"/>
          <w:szCs w:val="22"/>
        </w:rPr>
        <w:t>rgánem Celní správy České republiky</w:t>
      </w:r>
      <w:r w:rsidRPr="00914F63">
        <w:rPr>
          <w:rFonts w:ascii="Arial" w:hAnsi="Arial" w:cs="Arial"/>
          <w:sz w:val="22"/>
          <w:szCs w:val="22"/>
        </w:rPr>
        <w:t xml:space="preserve"> je soustava správních orgánů a ozbrojeným bezpečnostním sborem. Zákon o Celní správě nabyl účinnosti 1. ledna 2013. Na druhé straně Finanční správa ČR</w:t>
      </w:r>
      <w:r w:rsidR="007F4D98" w:rsidRPr="00914F63">
        <w:rPr>
          <w:rFonts w:ascii="Arial" w:hAnsi="Arial" w:cs="Arial"/>
          <w:sz w:val="22"/>
          <w:szCs w:val="22"/>
        </w:rPr>
        <w:t xml:space="preserve"> </w:t>
      </w:r>
      <w:r w:rsidR="000502F8" w:rsidRPr="00914F63">
        <w:rPr>
          <w:rFonts w:ascii="Arial" w:hAnsi="Arial" w:cs="Arial"/>
          <w:sz w:val="22"/>
          <w:szCs w:val="22"/>
        </w:rPr>
        <w:t>ve věcech právních poměrů státních zaměstnanců</w:t>
      </w:r>
      <w:r w:rsidR="007F4D98" w:rsidRPr="00914F63">
        <w:rPr>
          <w:rFonts w:ascii="Arial" w:hAnsi="Arial" w:cs="Arial"/>
          <w:sz w:val="22"/>
          <w:szCs w:val="22"/>
        </w:rPr>
        <w:t xml:space="preserve"> podléhá</w:t>
      </w:r>
      <w:r w:rsidR="000502F8" w:rsidRPr="00914F63">
        <w:rPr>
          <w:rFonts w:ascii="Arial" w:hAnsi="Arial" w:cs="Arial"/>
          <w:sz w:val="22"/>
          <w:szCs w:val="22"/>
        </w:rPr>
        <w:t xml:space="preserve"> </w:t>
      </w:r>
      <w:r w:rsidRPr="00914F63">
        <w:rPr>
          <w:rFonts w:ascii="Arial" w:hAnsi="Arial" w:cs="Arial"/>
          <w:sz w:val="22"/>
          <w:szCs w:val="22"/>
        </w:rPr>
        <w:t>zákon</w:t>
      </w:r>
      <w:r w:rsidR="007F4D98" w:rsidRPr="00914F63">
        <w:rPr>
          <w:rFonts w:ascii="Arial" w:hAnsi="Arial" w:cs="Arial"/>
          <w:sz w:val="22"/>
          <w:szCs w:val="22"/>
        </w:rPr>
        <w:t>u</w:t>
      </w:r>
      <w:r w:rsidRPr="00914F63">
        <w:rPr>
          <w:rFonts w:ascii="Arial" w:hAnsi="Arial" w:cs="Arial"/>
          <w:sz w:val="22"/>
          <w:szCs w:val="22"/>
        </w:rPr>
        <w:t xml:space="preserve"> č. 234/2014 Sb., o státní službě, jenž se uplatňuje v plném rozsahu od 1. 7. 2015.  Tyto právní rámce</w:t>
      </w:r>
      <w:r w:rsidR="004D6323" w:rsidRPr="00914F63">
        <w:rPr>
          <w:rFonts w:ascii="Arial" w:hAnsi="Arial" w:cs="Arial"/>
          <w:sz w:val="22"/>
          <w:szCs w:val="22"/>
        </w:rPr>
        <w:t xml:space="preserve"> odpovídají specifikům poslání a výkonu služby obou organizačních složek státu v oblasti cel a daní. Vycházejíc ze striktně odděleného typu služby nelze zjednodušenými přístupy modelovat přesuny zaměstnanců z jedné služby do druhé a tudíž předjímat zdánlivé úspory v případě zavedení „třetího“ druhu zaměstnaneckého poměru v Celní správě ČR.</w:t>
      </w:r>
    </w:p>
    <w:p w:rsidR="004A3052" w:rsidRPr="00261D54" w:rsidRDefault="004D6323" w:rsidP="00DD5DD5">
      <w:pPr>
        <w:jc w:val="both"/>
        <w:rPr>
          <w:rFonts w:ascii="Arial" w:hAnsi="Arial" w:cs="Arial"/>
          <w:bCs/>
          <w:iCs/>
          <w:sz w:val="22"/>
          <w:szCs w:val="22"/>
        </w:rPr>
      </w:pPr>
      <w:r w:rsidRPr="00914F63">
        <w:rPr>
          <w:rFonts w:ascii="Arial" w:hAnsi="Arial" w:cs="Arial"/>
          <w:bCs/>
          <w:iCs/>
          <w:sz w:val="22"/>
          <w:szCs w:val="22"/>
        </w:rPr>
        <w:t>M</w:t>
      </w:r>
      <w:r w:rsidR="003C0E87" w:rsidRPr="00914F63">
        <w:rPr>
          <w:rFonts w:ascii="Arial" w:hAnsi="Arial" w:cs="Arial"/>
          <w:bCs/>
          <w:iCs/>
          <w:sz w:val="22"/>
          <w:szCs w:val="22"/>
        </w:rPr>
        <w:t>odernizac</w:t>
      </w:r>
      <w:r w:rsidRPr="00914F63">
        <w:rPr>
          <w:rFonts w:ascii="Arial" w:hAnsi="Arial" w:cs="Arial"/>
          <w:bCs/>
          <w:iCs/>
          <w:sz w:val="22"/>
          <w:szCs w:val="22"/>
        </w:rPr>
        <w:t>e</w:t>
      </w:r>
      <w:r w:rsidR="003C0E87" w:rsidRPr="00914F63">
        <w:rPr>
          <w:rFonts w:ascii="Arial" w:hAnsi="Arial" w:cs="Arial"/>
          <w:bCs/>
          <w:iCs/>
          <w:sz w:val="22"/>
          <w:szCs w:val="22"/>
        </w:rPr>
        <w:t xml:space="preserve"> C</w:t>
      </w:r>
      <w:r w:rsidR="004F68FF" w:rsidRPr="00914F63">
        <w:rPr>
          <w:rFonts w:ascii="Arial" w:hAnsi="Arial" w:cs="Arial"/>
          <w:bCs/>
          <w:iCs/>
          <w:sz w:val="22"/>
          <w:szCs w:val="22"/>
        </w:rPr>
        <w:t>elní správy</w:t>
      </w:r>
      <w:r w:rsidR="003C0E87" w:rsidRPr="00914F63">
        <w:rPr>
          <w:rFonts w:ascii="Arial" w:hAnsi="Arial" w:cs="Arial"/>
          <w:bCs/>
          <w:iCs/>
          <w:sz w:val="22"/>
          <w:szCs w:val="22"/>
        </w:rPr>
        <w:t xml:space="preserve"> </w:t>
      </w:r>
      <w:r w:rsidR="00713E8B" w:rsidRPr="00914F63">
        <w:rPr>
          <w:rFonts w:ascii="Arial" w:hAnsi="Arial" w:cs="Arial"/>
          <w:bCs/>
          <w:iCs/>
          <w:sz w:val="22"/>
          <w:szCs w:val="22"/>
        </w:rPr>
        <w:t xml:space="preserve">předpokládá v horizontu několika let posílení její působnosti v oblasti </w:t>
      </w:r>
      <w:r w:rsidR="003C0E87" w:rsidRPr="00914F63">
        <w:rPr>
          <w:rFonts w:ascii="Arial" w:hAnsi="Arial" w:cs="Arial"/>
          <w:bCs/>
          <w:iCs/>
          <w:sz w:val="22"/>
          <w:szCs w:val="22"/>
        </w:rPr>
        <w:t xml:space="preserve">správy daní obecně a </w:t>
      </w:r>
      <w:r w:rsidR="00713E8B" w:rsidRPr="00914F63">
        <w:rPr>
          <w:rFonts w:ascii="Arial" w:hAnsi="Arial" w:cs="Arial"/>
          <w:bCs/>
          <w:iCs/>
          <w:sz w:val="22"/>
          <w:szCs w:val="22"/>
        </w:rPr>
        <w:t xml:space="preserve">zapojení do </w:t>
      </w:r>
      <w:r w:rsidR="003C0E87" w:rsidRPr="00914F63">
        <w:rPr>
          <w:rFonts w:ascii="Arial" w:hAnsi="Arial" w:cs="Arial"/>
          <w:bCs/>
          <w:iCs/>
          <w:sz w:val="22"/>
          <w:szCs w:val="22"/>
        </w:rPr>
        <w:t>jednotlivých procesů při správě daní</w:t>
      </w:r>
      <w:r w:rsidR="004F68FF" w:rsidRPr="00914F63">
        <w:rPr>
          <w:rFonts w:ascii="Arial" w:hAnsi="Arial" w:cs="Arial"/>
          <w:bCs/>
          <w:iCs/>
          <w:sz w:val="22"/>
          <w:szCs w:val="22"/>
        </w:rPr>
        <w:t>.</w:t>
      </w:r>
      <w:r w:rsidR="003C0E87" w:rsidRPr="00914F63">
        <w:rPr>
          <w:rFonts w:ascii="Arial" w:hAnsi="Arial" w:cs="Arial"/>
          <w:bCs/>
          <w:iCs/>
          <w:sz w:val="22"/>
          <w:szCs w:val="22"/>
        </w:rPr>
        <w:t xml:space="preserve"> </w:t>
      </w:r>
      <w:r w:rsidR="00713E8B" w:rsidRPr="00914F63">
        <w:rPr>
          <w:rFonts w:ascii="Arial" w:hAnsi="Arial" w:cs="Arial"/>
          <w:bCs/>
          <w:iCs/>
          <w:sz w:val="22"/>
          <w:szCs w:val="22"/>
        </w:rPr>
        <w:t xml:space="preserve">Dojde k propojení </w:t>
      </w:r>
      <w:r w:rsidR="003C0E87" w:rsidRPr="00914F63">
        <w:rPr>
          <w:rFonts w:ascii="Arial" w:hAnsi="Arial" w:cs="Arial"/>
          <w:bCs/>
          <w:iCs/>
          <w:sz w:val="22"/>
          <w:szCs w:val="22"/>
        </w:rPr>
        <w:t>činnost</w:t>
      </w:r>
      <w:r w:rsidR="00713E8B" w:rsidRPr="00914F63">
        <w:rPr>
          <w:rFonts w:ascii="Arial" w:hAnsi="Arial" w:cs="Arial"/>
          <w:bCs/>
          <w:iCs/>
          <w:sz w:val="22"/>
          <w:szCs w:val="22"/>
        </w:rPr>
        <w:t>í</w:t>
      </w:r>
      <w:r w:rsidR="003C0E87" w:rsidRPr="00914F63">
        <w:rPr>
          <w:rFonts w:ascii="Arial" w:hAnsi="Arial" w:cs="Arial"/>
          <w:bCs/>
          <w:iCs/>
          <w:sz w:val="22"/>
          <w:szCs w:val="22"/>
        </w:rPr>
        <w:t xml:space="preserve">, které </w:t>
      </w:r>
      <w:r w:rsidR="00713E8B" w:rsidRPr="00914F63">
        <w:rPr>
          <w:rFonts w:ascii="Arial" w:hAnsi="Arial" w:cs="Arial"/>
          <w:bCs/>
          <w:iCs/>
          <w:sz w:val="22"/>
          <w:szCs w:val="22"/>
        </w:rPr>
        <w:t xml:space="preserve">však </w:t>
      </w:r>
      <w:r w:rsidR="003C0E87" w:rsidRPr="00914F63">
        <w:rPr>
          <w:rFonts w:ascii="Arial" w:hAnsi="Arial" w:cs="Arial"/>
          <w:bCs/>
          <w:iCs/>
          <w:sz w:val="22"/>
          <w:szCs w:val="22"/>
        </w:rPr>
        <w:t xml:space="preserve">svým charakterem </w:t>
      </w:r>
      <w:r w:rsidR="00713E8B" w:rsidRPr="00914F63">
        <w:rPr>
          <w:rFonts w:ascii="Arial" w:hAnsi="Arial" w:cs="Arial"/>
          <w:bCs/>
          <w:iCs/>
          <w:sz w:val="22"/>
          <w:szCs w:val="22"/>
        </w:rPr>
        <w:t>přináleží více celníkům v</w:t>
      </w:r>
      <w:r w:rsidR="004F68FF" w:rsidRPr="00914F63">
        <w:rPr>
          <w:rFonts w:ascii="Arial" w:hAnsi="Arial" w:cs="Arial"/>
          <w:bCs/>
          <w:iCs/>
          <w:sz w:val="22"/>
          <w:szCs w:val="22"/>
        </w:rPr>
        <w:t>e</w:t>
      </w:r>
      <w:r w:rsidR="00713E8B" w:rsidRPr="00914F63">
        <w:rPr>
          <w:rFonts w:ascii="Arial" w:hAnsi="Arial" w:cs="Arial"/>
          <w:bCs/>
          <w:iCs/>
          <w:sz w:val="22"/>
          <w:szCs w:val="22"/>
        </w:rPr>
        <w:t xml:space="preserve"> statutu </w:t>
      </w:r>
      <w:r w:rsidR="003C0E87" w:rsidRPr="00914F63">
        <w:rPr>
          <w:rFonts w:ascii="Arial" w:hAnsi="Arial" w:cs="Arial"/>
          <w:bCs/>
          <w:iCs/>
          <w:sz w:val="22"/>
          <w:szCs w:val="22"/>
        </w:rPr>
        <w:t>bezpečnostního sboru.</w:t>
      </w:r>
    </w:p>
    <w:p w:rsidR="003C0E87" w:rsidRPr="00DD5DD5" w:rsidRDefault="003C0E87" w:rsidP="00DD5DD5">
      <w:pPr>
        <w:jc w:val="both"/>
        <w:rPr>
          <w:rFonts w:ascii="Arial" w:hAnsi="Arial" w:cs="Arial"/>
          <w:bCs/>
          <w:iCs/>
          <w:sz w:val="22"/>
          <w:szCs w:val="22"/>
        </w:rPr>
      </w:pPr>
      <w:r w:rsidRPr="00261D54">
        <w:rPr>
          <w:rFonts w:ascii="Arial" w:hAnsi="Arial" w:cs="Arial"/>
          <w:bCs/>
          <w:iCs/>
          <w:sz w:val="22"/>
          <w:szCs w:val="22"/>
        </w:rPr>
        <w:t>Zákon o služebním poměru příslušníků bezpečnostních sborů značně redukuje možnost přesunu celníků mezi jednotlivými služebními místy</w:t>
      </w:r>
      <w:r w:rsidR="00E21425" w:rsidRPr="00261D54">
        <w:rPr>
          <w:rFonts w:ascii="Arial" w:hAnsi="Arial" w:cs="Arial"/>
          <w:bCs/>
          <w:iCs/>
          <w:sz w:val="22"/>
          <w:szCs w:val="22"/>
        </w:rPr>
        <w:t>, neboť celníci zajišťující správu daní jsou zařazeni ve vyšších tarifních třídách ( 6TT – 7TT) a jejich případný přesun na služební místa s nižším tarifním stupněm by vyžadoval jejich souhlas. Služební místa ve stejném nebo vyšším tarifním stupni jsou však obsazená nebo je kapacita volných míst velmi malá. K přesunu v rámci CS ČR by tak mohlo dojít, jen pokud CS ČR převzala nové kompetence ve stejných tarifních třídách.</w:t>
      </w:r>
    </w:p>
    <w:p w:rsidR="00ED413D" w:rsidRDefault="00E03962" w:rsidP="00DD5DD5">
      <w:pPr>
        <w:jc w:val="both"/>
        <w:rPr>
          <w:rFonts w:ascii="Arial" w:hAnsi="Arial" w:cs="Arial"/>
          <w:bCs/>
          <w:iCs/>
          <w:sz w:val="22"/>
          <w:szCs w:val="22"/>
        </w:rPr>
      </w:pPr>
      <w:r w:rsidRPr="00DD5DD5">
        <w:rPr>
          <w:rFonts w:ascii="Arial" w:hAnsi="Arial" w:cs="Arial"/>
          <w:bCs/>
          <w:iCs/>
          <w:sz w:val="22"/>
          <w:szCs w:val="22"/>
        </w:rPr>
        <w:t>Závěrem si dovolujeme konstatovat, že deklarovaná potenciální úspora je natolik nízká, že</w:t>
      </w:r>
      <w:r w:rsidR="00DD5DD5">
        <w:rPr>
          <w:rFonts w:ascii="Arial" w:hAnsi="Arial" w:cs="Arial"/>
          <w:bCs/>
          <w:iCs/>
          <w:sz w:val="22"/>
          <w:szCs w:val="22"/>
        </w:rPr>
        <w:t> </w:t>
      </w:r>
      <w:r w:rsidRPr="00DD5DD5">
        <w:rPr>
          <w:rFonts w:ascii="Arial" w:hAnsi="Arial" w:cs="Arial"/>
          <w:bCs/>
          <w:iCs/>
          <w:sz w:val="22"/>
          <w:szCs w:val="22"/>
        </w:rPr>
        <w:t xml:space="preserve">dle našeho názoru nemůže v žádném případě opodstatnit a vyrovnat komplikace s její realizací spojené. </w:t>
      </w:r>
    </w:p>
    <w:p w:rsidR="004644FF" w:rsidRDefault="004644FF" w:rsidP="00DD5DD5">
      <w:pPr>
        <w:jc w:val="both"/>
        <w:rPr>
          <w:rFonts w:ascii="Arial" w:hAnsi="Arial" w:cs="Arial"/>
          <w:bCs/>
          <w:iCs/>
          <w:sz w:val="22"/>
          <w:szCs w:val="22"/>
        </w:rPr>
      </w:pPr>
    </w:p>
    <w:p w:rsidR="00E03962" w:rsidRPr="008820DF" w:rsidRDefault="00E03962" w:rsidP="00DD5DD5">
      <w:pPr>
        <w:jc w:val="both"/>
        <w:rPr>
          <w:rFonts w:ascii="Arial" w:hAnsi="Arial" w:cs="Arial"/>
          <w:bCs/>
          <w:iCs/>
          <w:sz w:val="22"/>
          <w:szCs w:val="22"/>
        </w:rPr>
      </w:pPr>
      <w:r w:rsidRPr="008820DF">
        <w:rPr>
          <w:rFonts w:ascii="Arial" w:hAnsi="Arial" w:cs="Arial"/>
          <w:bCs/>
          <w:iCs/>
          <w:sz w:val="22"/>
          <w:szCs w:val="22"/>
        </w:rPr>
        <w:t>K výkonu sdílených kompetencí</w:t>
      </w:r>
    </w:p>
    <w:p w:rsidR="00E03962" w:rsidRPr="00017635" w:rsidRDefault="00E03962" w:rsidP="00DD5DD5">
      <w:pPr>
        <w:jc w:val="both"/>
        <w:rPr>
          <w:rFonts w:ascii="Arial" w:hAnsi="Arial" w:cs="Arial"/>
          <w:bCs/>
          <w:iCs/>
          <w:sz w:val="22"/>
          <w:szCs w:val="22"/>
        </w:rPr>
      </w:pPr>
      <w:r w:rsidRPr="00017635">
        <w:rPr>
          <w:rFonts w:ascii="Arial" w:hAnsi="Arial" w:cs="Arial"/>
          <w:bCs/>
          <w:iCs/>
          <w:sz w:val="22"/>
          <w:szCs w:val="22"/>
        </w:rPr>
        <w:t>Jak uvádí NKÚ, má výkon sdílených kompetencí svá pozitiva i negativa. Sdílení kompetencí se netýká pouze CS, ale i jiných orgánů veřejné správy.</w:t>
      </w:r>
    </w:p>
    <w:p w:rsidR="00056F77" w:rsidRPr="00DD5DD5" w:rsidRDefault="00056F77" w:rsidP="00056F77">
      <w:pPr>
        <w:jc w:val="both"/>
        <w:rPr>
          <w:rFonts w:ascii="Arial" w:hAnsi="Arial" w:cs="Arial"/>
          <w:bCs/>
          <w:iCs/>
          <w:sz w:val="22"/>
          <w:szCs w:val="22"/>
        </w:rPr>
      </w:pPr>
      <w:r>
        <w:rPr>
          <w:rFonts w:ascii="Arial" w:hAnsi="Arial" w:cs="Arial"/>
          <w:bCs/>
          <w:iCs/>
          <w:sz w:val="22"/>
          <w:szCs w:val="22"/>
        </w:rPr>
        <w:t>Z</w:t>
      </w:r>
      <w:r w:rsidRPr="00DD5DD5">
        <w:rPr>
          <w:rFonts w:ascii="Arial" w:hAnsi="Arial" w:cs="Arial"/>
          <w:bCs/>
          <w:iCs/>
          <w:sz w:val="22"/>
          <w:szCs w:val="22"/>
        </w:rPr>
        <w:t xml:space="preserve">totožňujeme se s konstatováním NKÚ, že stav ve výkonu sdílených kompetencí </w:t>
      </w:r>
      <w:r>
        <w:rPr>
          <w:rFonts w:ascii="Arial" w:hAnsi="Arial" w:cs="Arial"/>
          <w:bCs/>
          <w:iCs/>
          <w:sz w:val="22"/>
          <w:szCs w:val="22"/>
        </w:rPr>
        <w:t>omezuje</w:t>
      </w:r>
      <w:r w:rsidRPr="00DD5DD5">
        <w:rPr>
          <w:rFonts w:ascii="Arial" w:hAnsi="Arial" w:cs="Arial"/>
          <w:bCs/>
          <w:iCs/>
          <w:sz w:val="22"/>
          <w:szCs w:val="22"/>
        </w:rPr>
        <w:t xml:space="preserve"> stanovit jejich nákladovost a efektivitu</w:t>
      </w:r>
      <w:r>
        <w:rPr>
          <w:rFonts w:ascii="Arial" w:hAnsi="Arial" w:cs="Arial"/>
          <w:bCs/>
          <w:iCs/>
          <w:sz w:val="22"/>
          <w:szCs w:val="22"/>
        </w:rPr>
        <w:t xml:space="preserve">, resp., </w:t>
      </w:r>
      <w:r w:rsidRPr="00DD5DD5">
        <w:rPr>
          <w:rFonts w:ascii="Arial" w:hAnsi="Arial" w:cs="Arial"/>
          <w:bCs/>
          <w:iCs/>
          <w:sz w:val="22"/>
          <w:szCs w:val="22"/>
        </w:rPr>
        <w:t>že takové zjišťování by bylo poměrně složité, časově náročné a nákladné.</w:t>
      </w:r>
    </w:p>
    <w:p w:rsidR="00E03962" w:rsidRPr="00DD5DD5" w:rsidRDefault="00E03962" w:rsidP="00DD5DD5">
      <w:pPr>
        <w:jc w:val="both"/>
        <w:rPr>
          <w:rFonts w:ascii="Arial" w:hAnsi="Arial" w:cs="Arial"/>
          <w:bCs/>
          <w:iCs/>
          <w:sz w:val="22"/>
          <w:szCs w:val="22"/>
        </w:rPr>
      </w:pPr>
    </w:p>
    <w:p w:rsidR="00E03962" w:rsidRPr="008820DF" w:rsidRDefault="00E03962" w:rsidP="00DD5DD5">
      <w:pPr>
        <w:jc w:val="both"/>
        <w:rPr>
          <w:rFonts w:ascii="Arial" w:hAnsi="Arial" w:cs="Arial"/>
          <w:bCs/>
          <w:iCs/>
          <w:sz w:val="22"/>
          <w:szCs w:val="22"/>
        </w:rPr>
      </w:pPr>
      <w:r w:rsidRPr="008820DF">
        <w:rPr>
          <w:rFonts w:ascii="Arial" w:hAnsi="Arial" w:cs="Arial"/>
          <w:bCs/>
          <w:iCs/>
          <w:sz w:val="22"/>
          <w:szCs w:val="22"/>
        </w:rPr>
        <w:t>K doporučení umožnit měnit v mezích kompetencí CS ČR místní a věcnou příslušnost CÚ tak, aby mohl být výkon některých činností soustředěn u vybraných CÚ.</w:t>
      </w:r>
    </w:p>
    <w:p w:rsidR="00E03962" w:rsidRPr="00DD5DD5" w:rsidRDefault="00E03962" w:rsidP="00DD5DD5">
      <w:pPr>
        <w:jc w:val="both"/>
        <w:rPr>
          <w:rFonts w:ascii="Arial" w:hAnsi="Arial" w:cs="Arial"/>
          <w:bCs/>
          <w:iCs/>
          <w:sz w:val="22"/>
          <w:szCs w:val="22"/>
        </w:rPr>
      </w:pP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Místní a věcná příslušnost celních úřadů je stanovena výše uvedeným zákonem o Celní správě České republiky a nelze ji měnit rozhodnutím generálního ředitele případně ministra financí.</w:t>
      </w:r>
    </w:p>
    <w:p w:rsidR="00E03962" w:rsidRPr="00DD5DD5" w:rsidRDefault="00E03962" w:rsidP="00DD5DD5">
      <w:pPr>
        <w:jc w:val="both"/>
        <w:rPr>
          <w:rFonts w:ascii="Arial" w:hAnsi="Arial" w:cs="Arial"/>
          <w:bCs/>
          <w:iCs/>
          <w:sz w:val="22"/>
          <w:szCs w:val="22"/>
        </w:rPr>
      </w:pP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U některých kompetencí je tato praxe již realizována na základě zákonných ustanovení. Výčet celních úřadů a kompetencí je uveden v § 9 zákona č. 17/2012 Sb., o Celní správě České republiky, který zní</w:t>
      </w:r>
    </w:p>
    <w:p w:rsidR="00E03962" w:rsidRPr="00DD5DD5" w:rsidRDefault="00E03962" w:rsidP="00DD5DD5">
      <w:pPr>
        <w:jc w:val="both"/>
        <w:rPr>
          <w:rFonts w:ascii="Arial" w:hAnsi="Arial" w:cs="Arial"/>
          <w:bCs/>
          <w:iCs/>
          <w:sz w:val="22"/>
          <w:szCs w:val="22"/>
        </w:rPr>
      </w:pP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 9</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Věcná působnost vybraných celních úřadů</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(1) Celní úřad pro Olomoucký kraj vydává na základě žádosti rozhodnutí týkající se závazné informace podle přímo použitelného předpisu Evropské unie a tato rozhodnutí zrušuje nebo prohlašuje za neplatné.</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(2) Celní úřad pro Jihomoravský kraj</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a) prohlašuje část území České republiky za svobodné pásmo,</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b) je při umísťování a povolování staveb ve svobodném pásmu dotčeným orgánem příslušným k vydání závazného stanoviska,</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c) rozhoduje o udělení povolení být ručitelem a vydávat celní doklady pro určitý celní režim nebo druh přepravy zboží podle mezinárodní smlouvy.</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(3) Celní úřad pro Jihočeský kraj</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a) vydává, pozastavuje, mění nebo zrušuje</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1. povolení oprávněného hospodářského subjektu podle přímo použitelného předpisu Evropské unie6),</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2. osvědčení schváleného hospodářského subjektu podle přímo použitelného předpisu Evropské unie7),</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b) kontroluje, zda podmínky, které musí oprávněný hospodářský subjekt nebo schválený hospodářský subjekt splňovat, trvají i po vydání povolení nebo osvědčení,</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c) rozhoduje o povolení zprostit povinnosti poskytnout jistotu a o pozastavení, změně nebo zrušení tohoto povolení,</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d) rozhoduje o povolení ručitele, povolení uživatele souborné jistoty a povolení uživatele souborné jistoty se sníženou částkou jistoty, a o pozastavení, změně nebo zrušení tohoto povolení.</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(4) Celní úřad pro hlavní město Prahu rozhoduje o povolení ručitele pro poskytnutí jednotlivé jistoty s použitím záručního dokladu.</w:t>
      </w:r>
    </w:p>
    <w:p w:rsidR="00E03962" w:rsidRPr="00DD5DD5" w:rsidRDefault="00E03962" w:rsidP="00DD5DD5">
      <w:pPr>
        <w:jc w:val="both"/>
        <w:rPr>
          <w:rFonts w:ascii="Arial" w:hAnsi="Arial" w:cs="Arial"/>
          <w:bCs/>
          <w:i/>
          <w:iCs/>
          <w:sz w:val="22"/>
          <w:szCs w:val="22"/>
        </w:rPr>
      </w:pPr>
      <w:r w:rsidRPr="00DD5DD5">
        <w:rPr>
          <w:rFonts w:ascii="Arial" w:hAnsi="Arial" w:cs="Arial"/>
          <w:bCs/>
          <w:i/>
          <w:iCs/>
          <w:sz w:val="22"/>
          <w:szCs w:val="22"/>
        </w:rPr>
        <w:t>(5) Ministerstvo stanoví vyhláškou minimální prahovou hodnotu pro počet a objem dovozních operací, které jsou dostatečné pro vydání osvědčení schváleného hospodářského subjektu podle přímo použitelného předpisu Evropské unie).“</w:t>
      </w:r>
    </w:p>
    <w:p w:rsidR="000C73FA" w:rsidRDefault="000C73FA" w:rsidP="00DD5DD5">
      <w:pPr>
        <w:jc w:val="both"/>
        <w:rPr>
          <w:rFonts w:ascii="Arial" w:hAnsi="Arial" w:cs="Arial"/>
          <w:bCs/>
          <w:iCs/>
          <w:sz w:val="22"/>
          <w:szCs w:val="22"/>
        </w:rPr>
      </w:pPr>
    </w:p>
    <w:p w:rsidR="009F6D04" w:rsidRDefault="009F6D04" w:rsidP="00DD5DD5">
      <w:pPr>
        <w:jc w:val="both"/>
        <w:rPr>
          <w:rFonts w:ascii="Arial" w:hAnsi="Arial" w:cs="Arial"/>
          <w:bCs/>
          <w:iCs/>
          <w:sz w:val="22"/>
          <w:szCs w:val="22"/>
        </w:rPr>
      </w:pPr>
      <w:r w:rsidRPr="009F6D04">
        <w:rPr>
          <w:rFonts w:ascii="Arial" w:hAnsi="Arial" w:cs="Arial"/>
          <w:bCs/>
          <w:iCs/>
          <w:sz w:val="22"/>
          <w:szCs w:val="22"/>
        </w:rPr>
        <w:t>Důvody poklesu efektivity správy SPD uvádí</w:t>
      </w:r>
      <w:r w:rsidR="003C3910">
        <w:rPr>
          <w:rFonts w:ascii="Arial" w:hAnsi="Arial" w:cs="Arial"/>
          <w:bCs/>
          <w:iCs/>
          <w:sz w:val="22"/>
          <w:szCs w:val="22"/>
        </w:rPr>
        <w:t xml:space="preserve"> sám NKÚ. Jsou uvedeny v části </w:t>
      </w:r>
      <w:r w:rsidRPr="009F6D04">
        <w:rPr>
          <w:rFonts w:ascii="Arial" w:hAnsi="Arial" w:cs="Arial"/>
          <w:bCs/>
          <w:iCs/>
          <w:sz w:val="22"/>
          <w:szCs w:val="22"/>
        </w:rPr>
        <w:t>3.</w:t>
      </w:r>
    </w:p>
    <w:p w:rsidR="006E3C49" w:rsidRPr="000C73FA" w:rsidRDefault="006E3C49" w:rsidP="00244851">
      <w:pPr>
        <w:autoSpaceDE w:val="0"/>
        <w:autoSpaceDN w:val="0"/>
        <w:adjustRightInd w:val="0"/>
        <w:jc w:val="both"/>
        <w:outlineLvl w:val="0"/>
        <w:rPr>
          <w:rFonts w:ascii="Arial" w:hAnsi="Arial" w:cs="Arial"/>
          <w:bCs/>
          <w:iCs/>
          <w:sz w:val="22"/>
          <w:szCs w:val="22"/>
        </w:rPr>
      </w:pPr>
    </w:p>
    <w:p w:rsidR="004644FF" w:rsidRDefault="004644FF">
      <w:pPr>
        <w:spacing w:after="200" w:line="276" w:lineRule="auto"/>
        <w:rPr>
          <w:rFonts w:ascii="Arial" w:hAnsi="Arial" w:cs="Arial"/>
          <w:bCs/>
          <w:iCs/>
          <w:sz w:val="22"/>
          <w:szCs w:val="22"/>
          <w:u w:val="single"/>
        </w:rPr>
      </w:pPr>
      <w:r>
        <w:rPr>
          <w:rFonts w:ascii="Arial" w:hAnsi="Arial" w:cs="Arial"/>
          <w:bCs/>
          <w:iCs/>
          <w:sz w:val="22"/>
          <w:szCs w:val="22"/>
          <w:u w:val="single"/>
        </w:rPr>
        <w:br w:type="page"/>
      </w:r>
    </w:p>
    <w:p w:rsidR="000C73FA" w:rsidRPr="000C73FA" w:rsidRDefault="000C73FA" w:rsidP="000C73FA">
      <w:pPr>
        <w:autoSpaceDE w:val="0"/>
        <w:autoSpaceDN w:val="0"/>
        <w:adjustRightInd w:val="0"/>
        <w:jc w:val="both"/>
        <w:outlineLvl w:val="0"/>
        <w:rPr>
          <w:rFonts w:ascii="Arial" w:hAnsi="Arial" w:cs="Arial"/>
          <w:bCs/>
          <w:iCs/>
          <w:sz w:val="22"/>
          <w:szCs w:val="22"/>
        </w:rPr>
      </w:pPr>
      <w:r w:rsidRPr="000C73FA">
        <w:rPr>
          <w:rFonts w:ascii="Arial" w:hAnsi="Arial" w:cs="Arial"/>
          <w:bCs/>
          <w:iCs/>
          <w:sz w:val="22"/>
          <w:szCs w:val="22"/>
          <w:u w:val="single"/>
        </w:rPr>
        <w:t xml:space="preserve">Opatření </w:t>
      </w:r>
      <w:r w:rsidR="006E3C49" w:rsidRPr="006E3C49">
        <w:rPr>
          <w:rFonts w:ascii="Arial" w:hAnsi="Arial" w:cs="Arial"/>
          <w:bCs/>
          <w:iCs/>
          <w:sz w:val="22"/>
          <w:szCs w:val="22"/>
          <w:u w:val="single"/>
        </w:rPr>
        <w:t>GŘC</w:t>
      </w:r>
      <w:r w:rsidRPr="000C73FA">
        <w:rPr>
          <w:rFonts w:ascii="Arial" w:hAnsi="Arial" w:cs="Arial"/>
          <w:bCs/>
          <w:iCs/>
          <w:sz w:val="22"/>
          <w:szCs w:val="22"/>
          <w:u w:val="single"/>
        </w:rPr>
        <w:t>:</w:t>
      </w:r>
    </w:p>
    <w:p w:rsidR="002C6333" w:rsidRPr="002C6333" w:rsidRDefault="002C6333" w:rsidP="002C6333">
      <w:pPr>
        <w:jc w:val="both"/>
        <w:rPr>
          <w:rFonts w:ascii="Arial" w:hAnsi="Arial" w:cs="Arial"/>
          <w:bCs/>
          <w:iCs/>
          <w:sz w:val="22"/>
          <w:szCs w:val="22"/>
        </w:rPr>
      </w:pPr>
      <w:r w:rsidRPr="002C6333">
        <w:rPr>
          <w:rFonts w:ascii="Arial" w:hAnsi="Arial" w:cs="Arial"/>
          <w:bCs/>
          <w:iCs/>
          <w:sz w:val="22"/>
          <w:szCs w:val="22"/>
        </w:rPr>
        <w:t>Vzhledem ke stanovisku GŘC opatření</w:t>
      </w:r>
      <w:r w:rsidR="00FA4DE6">
        <w:rPr>
          <w:rFonts w:ascii="Arial" w:hAnsi="Arial" w:cs="Arial"/>
          <w:bCs/>
          <w:iCs/>
          <w:sz w:val="22"/>
          <w:szCs w:val="22"/>
        </w:rPr>
        <w:t>,</w:t>
      </w:r>
      <w:r w:rsidRPr="002C6333">
        <w:rPr>
          <w:rFonts w:ascii="Arial" w:hAnsi="Arial" w:cs="Arial"/>
          <w:bCs/>
          <w:iCs/>
          <w:sz w:val="22"/>
          <w:szCs w:val="22"/>
        </w:rPr>
        <w:t xml:space="preserve"> </w:t>
      </w:r>
      <w:r w:rsidR="00FA4DE6">
        <w:rPr>
          <w:rFonts w:ascii="Arial" w:hAnsi="Arial" w:cs="Arial"/>
          <w:bCs/>
          <w:iCs/>
          <w:sz w:val="22"/>
          <w:szCs w:val="22"/>
        </w:rPr>
        <w:t>týkající</w:t>
      </w:r>
      <w:r w:rsidR="001D6E2D">
        <w:rPr>
          <w:rFonts w:ascii="Arial" w:hAnsi="Arial" w:cs="Arial"/>
          <w:bCs/>
          <w:iCs/>
          <w:sz w:val="22"/>
          <w:szCs w:val="22"/>
        </w:rPr>
        <w:t>ho</w:t>
      </w:r>
      <w:r w:rsidR="00FA4DE6">
        <w:rPr>
          <w:rFonts w:ascii="Arial" w:hAnsi="Arial" w:cs="Arial"/>
          <w:bCs/>
          <w:iCs/>
          <w:sz w:val="22"/>
          <w:szCs w:val="22"/>
        </w:rPr>
        <w:t xml:space="preserve"> se</w:t>
      </w:r>
      <w:r w:rsidR="00550354">
        <w:rPr>
          <w:rFonts w:ascii="Arial" w:hAnsi="Arial" w:cs="Arial"/>
          <w:bCs/>
          <w:iCs/>
          <w:sz w:val="22"/>
          <w:szCs w:val="22"/>
        </w:rPr>
        <w:t xml:space="preserve"> převodu pracovníků </w:t>
      </w:r>
      <w:r w:rsidR="00550354" w:rsidRPr="00550354">
        <w:rPr>
          <w:rFonts w:ascii="Arial" w:hAnsi="Arial" w:cs="Arial"/>
          <w:bCs/>
          <w:iCs/>
          <w:sz w:val="22"/>
          <w:szCs w:val="22"/>
        </w:rPr>
        <w:t>do jiného než služebního poměru</w:t>
      </w:r>
      <w:r w:rsidR="00550354">
        <w:rPr>
          <w:rFonts w:ascii="Arial" w:hAnsi="Arial" w:cs="Arial"/>
          <w:bCs/>
          <w:iCs/>
          <w:sz w:val="22"/>
          <w:szCs w:val="22"/>
        </w:rPr>
        <w:t>,</w:t>
      </w:r>
      <w:r w:rsidR="00FA4DE6">
        <w:rPr>
          <w:rFonts w:ascii="Arial" w:hAnsi="Arial" w:cs="Arial"/>
          <w:bCs/>
          <w:iCs/>
          <w:sz w:val="22"/>
          <w:szCs w:val="22"/>
        </w:rPr>
        <w:t xml:space="preserve"> </w:t>
      </w:r>
      <w:r w:rsidRPr="002C6333">
        <w:rPr>
          <w:rFonts w:ascii="Arial" w:hAnsi="Arial" w:cs="Arial"/>
          <w:bCs/>
          <w:iCs/>
          <w:sz w:val="22"/>
          <w:szCs w:val="22"/>
        </w:rPr>
        <w:t>nepřijímá.</w:t>
      </w:r>
    </w:p>
    <w:p w:rsidR="00B722D5" w:rsidRPr="00B722D5" w:rsidRDefault="00B722D5" w:rsidP="00B722D5">
      <w:pPr>
        <w:jc w:val="both"/>
        <w:rPr>
          <w:rFonts w:ascii="Arial" w:hAnsi="Arial" w:cs="Arial"/>
          <w:bCs/>
          <w:sz w:val="22"/>
          <w:szCs w:val="22"/>
        </w:rPr>
      </w:pPr>
      <w:r w:rsidRPr="00B722D5">
        <w:rPr>
          <w:rFonts w:ascii="Arial" w:hAnsi="Arial" w:cs="Arial"/>
          <w:bCs/>
          <w:sz w:val="22"/>
          <w:szCs w:val="22"/>
        </w:rPr>
        <w:t xml:space="preserve">Jedná se o konstatování stavu, který je dán organizační strukturou celní správy a jejími kompetencemi stanovenými zákonem. Reálnost a realizovatelnost převodu části pracovníků do jiného než služebního poměru, jakož i případné úspory z toho vyplývající, lze hodnotit až po zavedení projektu </w:t>
      </w:r>
      <w:r w:rsidR="00711E7E">
        <w:rPr>
          <w:rFonts w:ascii="Arial" w:hAnsi="Arial" w:cs="Arial"/>
          <w:bCs/>
          <w:sz w:val="22"/>
          <w:szCs w:val="22"/>
        </w:rPr>
        <w:t>„</w:t>
      </w:r>
      <w:r w:rsidRPr="00B722D5">
        <w:rPr>
          <w:rFonts w:ascii="Arial" w:hAnsi="Arial" w:cs="Arial"/>
          <w:bCs/>
          <w:sz w:val="22"/>
          <w:szCs w:val="22"/>
        </w:rPr>
        <w:t>samovyměření</w:t>
      </w:r>
      <w:r w:rsidR="00711E7E">
        <w:rPr>
          <w:rFonts w:ascii="Arial" w:hAnsi="Arial" w:cs="Arial"/>
          <w:bCs/>
          <w:sz w:val="22"/>
          <w:szCs w:val="22"/>
        </w:rPr>
        <w:t>“</w:t>
      </w:r>
      <w:r w:rsidRPr="00B722D5">
        <w:rPr>
          <w:rFonts w:ascii="Arial" w:hAnsi="Arial" w:cs="Arial"/>
          <w:bCs/>
          <w:sz w:val="22"/>
          <w:szCs w:val="22"/>
        </w:rPr>
        <w:t xml:space="preserve">, který má přinést významný přesun činností správců daně z oblasti administrativní do oblasti kontrolní, tj. významný úbytek pracovníků, v nichž NKÚ spatřuje možnost úspory. </w:t>
      </w:r>
    </w:p>
    <w:p w:rsidR="009F6D04" w:rsidRDefault="009F6D04" w:rsidP="00B722D5"/>
    <w:p w:rsidR="00D077C4" w:rsidRDefault="00D077C4" w:rsidP="00B722D5">
      <w:pPr>
        <w:jc w:val="both"/>
        <w:rPr>
          <w:rFonts w:ascii="Arial" w:hAnsi="Arial" w:cs="Arial"/>
          <w:bCs/>
          <w:sz w:val="22"/>
          <w:szCs w:val="22"/>
        </w:rPr>
      </w:pPr>
    </w:p>
    <w:p w:rsidR="00D077C4" w:rsidRPr="00914F63" w:rsidRDefault="00D077C4" w:rsidP="00B722D5">
      <w:pPr>
        <w:jc w:val="both"/>
        <w:rPr>
          <w:rFonts w:ascii="Arial" w:hAnsi="Arial" w:cs="Arial"/>
          <w:bCs/>
          <w:sz w:val="22"/>
          <w:szCs w:val="22"/>
          <w:u w:val="single"/>
        </w:rPr>
      </w:pPr>
      <w:r w:rsidRPr="00914F63">
        <w:rPr>
          <w:rFonts w:ascii="Arial" w:hAnsi="Arial" w:cs="Arial"/>
          <w:bCs/>
          <w:sz w:val="22"/>
          <w:szCs w:val="22"/>
          <w:u w:val="single"/>
        </w:rPr>
        <w:t>Opatření GŘC:</w:t>
      </w:r>
    </w:p>
    <w:p w:rsidR="00483297" w:rsidRPr="00483297" w:rsidRDefault="00483297" w:rsidP="00483297">
      <w:pPr>
        <w:jc w:val="both"/>
        <w:rPr>
          <w:rFonts w:ascii="Arial" w:hAnsi="Arial" w:cs="Arial"/>
          <w:bCs/>
          <w:sz w:val="22"/>
          <w:szCs w:val="22"/>
        </w:rPr>
      </w:pPr>
      <w:r w:rsidRPr="00483297">
        <w:rPr>
          <w:rFonts w:ascii="Arial" w:hAnsi="Arial" w:cs="Arial"/>
          <w:bCs/>
          <w:sz w:val="22"/>
          <w:szCs w:val="22"/>
        </w:rPr>
        <w:t xml:space="preserve">Provést analýzu, zda lze v rámci správy spotřebních daní či jiných kompetencí celní správy vyčlenit konkrétní oblasti, u nichž by bylo účelné a efektivní stanovovat věcnou příslušnost odlišně od současného zákonem stanoveného rámce a svěřit je k výkonu pouze vybraným celním úřadům a z jakých důvodů, obdobně, jako je tomu u vybraných oblastí správy cla (viz § 9 zákona o Celní správě ČR) a současně zda vůbec lze tuto příslušnost stanovovat nikoliv zákonem, ale na základě v zákoně o CS ČR nově stanoveného zmocnění k určení této příslušnosti podzákonnou normou - Vyhláškou MF, jak nastínilo NKÚ ve svém doporučujícím názoru. </w:t>
      </w:r>
    </w:p>
    <w:p w:rsidR="00FA4DE6" w:rsidRDefault="00FA4DE6" w:rsidP="00B722D5">
      <w:pPr>
        <w:jc w:val="both"/>
        <w:rPr>
          <w:rFonts w:ascii="Arial" w:hAnsi="Arial" w:cs="Arial"/>
          <w:bCs/>
          <w:sz w:val="22"/>
          <w:szCs w:val="22"/>
        </w:rPr>
      </w:pPr>
    </w:p>
    <w:p w:rsidR="00FA4DE6" w:rsidRPr="00D077C4" w:rsidRDefault="00FA4DE6" w:rsidP="00B722D5">
      <w:pPr>
        <w:jc w:val="both"/>
        <w:rPr>
          <w:rFonts w:ascii="Arial" w:hAnsi="Arial" w:cs="Arial"/>
          <w:bCs/>
          <w:sz w:val="22"/>
          <w:szCs w:val="22"/>
        </w:rPr>
      </w:pPr>
      <w:r w:rsidRPr="00914F63">
        <w:rPr>
          <w:rFonts w:ascii="Arial" w:hAnsi="Arial" w:cs="Arial"/>
          <w:bCs/>
          <w:sz w:val="22"/>
          <w:szCs w:val="22"/>
          <w:u w:val="single"/>
        </w:rPr>
        <w:t>Termín:</w:t>
      </w:r>
      <w:r>
        <w:rPr>
          <w:rFonts w:ascii="Arial" w:hAnsi="Arial" w:cs="Arial"/>
          <w:bCs/>
          <w:sz w:val="22"/>
          <w:szCs w:val="22"/>
        </w:rPr>
        <w:t xml:space="preserve"> 31. 12. 201</w:t>
      </w:r>
      <w:r w:rsidR="00483297">
        <w:rPr>
          <w:rFonts w:ascii="Arial" w:hAnsi="Arial" w:cs="Arial"/>
          <w:bCs/>
          <w:sz w:val="22"/>
          <w:szCs w:val="22"/>
        </w:rPr>
        <w:t>7</w:t>
      </w:r>
    </w:p>
    <w:p w:rsidR="006E3C49" w:rsidRPr="000C73FA" w:rsidRDefault="006E3C49" w:rsidP="000C73FA">
      <w:pPr>
        <w:autoSpaceDE w:val="0"/>
        <w:autoSpaceDN w:val="0"/>
        <w:adjustRightInd w:val="0"/>
        <w:jc w:val="both"/>
        <w:outlineLvl w:val="0"/>
        <w:rPr>
          <w:rFonts w:ascii="Arial" w:hAnsi="Arial" w:cs="Arial"/>
          <w:bCs/>
          <w:iCs/>
          <w:sz w:val="22"/>
          <w:szCs w:val="22"/>
          <w:u w:val="single"/>
        </w:rPr>
      </w:pPr>
    </w:p>
    <w:p w:rsidR="0099291B" w:rsidRDefault="0099291B" w:rsidP="00244851">
      <w:pPr>
        <w:autoSpaceDE w:val="0"/>
        <w:autoSpaceDN w:val="0"/>
        <w:adjustRightInd w:val="0"/>
        <w:jc w:val="both"/>
        <w:outlineLvl w:val="0"/>
        <w:rPr>
          <w:rFonts w:ascii="Arial" w:hAnsi="Arial" w:cs="Arial"/>
          <w:bCs/>
          <w:iCs/>
          <w:sz w:val="22"/>
          <w:szCs w:val="22"/>
        </w:rPr>
      </w:pPr>
    </w:p>
    <w:p w:rsidR="006E3C49" w:rsidRPr="006E3C49" w:rsidRDefault="006E3C49" w:rsidP="006E3C49">
      <w:pPr>
        <w:rPr>
          <w:rFonts w:ascii="Arial" w:hAnsi="Arial" w:cs="Arial"/>
          <w:b/>
          <w:bCs/>
          <w:sz w:val="22"/>
          <w:szCs w:val="22"/>
        </w:rPr>
      </w:pPr>
      <w:r w:rsidRPr="006E3C49">
        <w:rPr>
          <w:rFonts w:ascii="Arial" w:hAnsi="Arial" w:cs="Arial"/>
          <w:b/>
          <w:bCs/>
          <w:sz w:val="22"/>
          <w:szCs w:val="22"/>
        </w:rPr>
        <w:t>3. Dopady legislativních změn v oblasti SPED od roku 2013</w:t>
      </w:r>
    </w:p>
    <w:p w:rsidR="006E3C49" w:rsidRPr="006E3C49" w:rsidRDefault="006E3C49" w:rsidP="006E3C49">
      <w:pPr>
        <w:rPr>
          <w:rFonts w:ascii="Arial" w:hAnsi="Arial" w:cs="Arial"/>
          <w:bCs/>
          <w:sz w:val="22"/>
          <w:szCs w:val="22"/>
        </w:rPr>
      </w:pPr>
      <w:r>
        <w:rPr>
          <w:rFonts w:ascii="Arial" w:hAnsi="Arial" w:cs="Arial"/>
          <w:bCs/>
          <w:sz w:val="22"/>
          <w:szCs w:val="22"/>
        </w:rPr>
        <w:t xml:space="preserve">    </w:t>
      </w:r>
      <w:r w:rsidRPr="006E3C49">
        <w:rPr>
          <w:rFonts w:ascii="Arial" w:hAnsi="Arial" w:cs="Arial"/>
          <w:bCs/>
          <w:sz w:val="22"/>
          <w:szCs w:val="22"/>
        </w:rPr>
        <w:t>(str. 8 Kontrolního závěru)</w:t>
      </w:r>
    </w:p>
    <w:p w:rsidR="00453266" w:rsidRDefault="00453266" w:rsidP="00244851">
      <w:pPr>
        <w:jc w:val="both"/>
        <w:rPr>
          <w:rFonts w:ascii="Arial" w:hAnsi="Arial" w:cs="Arial"/>
          <w:bCs/>
          <w:i/>
          <w:iCs/>
          <w:sz w:val="22"/>
          <w:szCs w:val="22"/>
          <w:u w:val="single"/>
        </w:rPr>
      </w:pPr>
    </w:p>
    <w:p w:rsidR="002075DC" w:rsidRPr="002075DC" w:rsidRDefault="002075DC" w:rsidP="00244851">
      <w:pPr>
        <w:jc w:val="both"/>
        <w:rPr>
          <w:rFonts w:ascii="Arial" w:hAnsi="Arial" w:cs="Arial"/>
          <w:bCs/>
          <w:i/>
          <w:iCs/>
          <w:sz w:val="22"/>
          <w:szCs w:val="22"/>
          <w:u w:val="single"/>
        </w:rPr>
      </w:pPr>
      <w:r w:rsidRPr="002075DC">
        <w:rPr>
          <w:rFonts w:ascii="Arial" w:hAnsi="Arial" w:cs="Arial"/>
          <w:bCs/>
          <w:i/>
          <w:iCs/>
          <w:sz w:val="22"/>
          <w:szCs w:val="22"/>
          <w:u w:val="single"/>
        </w:rPr>
        <w:t>Zjištění NKÚ:</w:t>
      </w:r>
    </w:p>
    <w:p w:rsidR="006E3C49" w:rsidRPr="006E3C49" w:rsidRDefault="006E3C49" w:rsidP="006E3C49">
      <w:pPr>
        <w:jc w:val="both"/>
        <w:rPr>
          <w:rFonts w:ascii="Arial" w:hAnsi="Arial" w:cs="Arial"/>
          <w:bCs/>
          <w:i/>
          <w:sz w:val="22"/>
          <w:szCs w:val="22"/>
        </w:rPr>
      </w:pPr>
      <w:r>
        <w:rPr>
          <w:rFonts w:ascii="Arial" w:hAnsi="Arial" w:cs="Arial"/>
          <w:bCs/>
          <w:i/>
          <w:sz w:val="22"/>
          <w:szCs w:val="22"/>
        </w:rPr>
        <w:t>„</w:t>
      </w:r>
      <w:r w:rsidRPr="006E3C49">
        <w:rPr>
          <w:rFonts w:ascii="Arial" w:hAnsi="Arial" w:cs="Arial"/>
          <w:bCs/>
          <w:i/>
          <w:sz w:val="22"/>
          <w:szCs w:val="22"/>
        </w:rPr>
        <w:t>NKÚ porovnáním příjmů a výdajů na jeden dozorovaný subjekt v roce 2015 zjistil, že čistý výnos SPED na jeden daňový subjekt klesl. Od roku 2004 do roku 2016 právní úprava v</w:t>
      </w:r>
      <w:r w:rsidR="002C6333">
        <w:rPr>
          <w:rFonts w:ascii="Arial" w:hAnsi="Arial" w:cs="Arial"/>
          <w:bCs/>
          <w:i/>
          <w:sz w:val="22"/>
          <w:szCs w:val="22"/>
        </w:rPr>
        <w:t> </w:t>
      </w:r>
      <w:r w:rsidRPr="006E3C49">
        <w:rPr>
          <w:rFonts w:ascii="Arial" w:hAnsi="Arial" w:cs="Arial"/>
          <w:bCs/>
          <w:i/>
          <w:sz w:val="22"/>
          <w:szCs w:val="22"/>
        </w:rPr>
        <w:t>oblasti správy spotřebních daní významně narostla. Např. zákon o spotřebních daních byl rozšířen ze 142 na 331 paragrafů. U dalších právních předpisů dotýkajících se správy spotřebních daní byl vývoj obdobný.</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Změna podmínek pro vydání povolení dle zákona o spotřebních daních účinná od 1. 1. 2015 přinesla více než šestinásobné zvýšení nákladů na analytické produkty (19,6 mil. Kč). Zvýšené náklady souvisí zejména s ověřováním ekonomické stability, spolehlivosti a</w:t>
      </w:r>
      <w:r w:rsidR="002C6333">
        <w:rPr>
          <w:rFonts w:ascii="Arial" w:hAnsi="Arial" w:cs="Arial"/>
          <w:bCs/>
          <w:i/>
          <w:sz w:val="22"/>
          <w:szCs w:val="22"/>
        </w:rPr>
        <w:t> </w:t>
      </w:r>
      <w:r w:rsidRPr="006E3C49">
        <w:rPr>
          <w:rFonts w:ascii="Arial" w:hAnsi="Arial" w:cs="Arial"/>
          <w:bCs/>
          <w:i/>
          <w:sz w:val="22"/>
          <w:szCs w:val="22"/>
        </w:rPr>
        <w:t>bezdlužnosti navrhovatele a osob, které vykonávají činnost statutárního orgánu v okamžiku vydání povolení, a také souvisí s každoroční reviz</w:t>
      </w:r>
      <w:r>
        <w:rPr>
          <w:rFonts w:ascii="Arial" w:hAnsi="Arial" w:cs="Arial"/>
          <w:bCs/>
          <w:i/>
          <w:sz w:val="22"/>
          <w:szCs w:val="22"/>
        </w:rPr>
        <w:t xml:space="preserve">í (více než 30 tisíc subjektů). </w:t>
      </w:r>
      <w:r w:rsidRPr="006E3C49">
        <w:rPr>
          <w:rFonts w:ascii="Arial" w:hAnsi="Arial" w:cs="Arial"/>
          <w:bCs/>
          <w:i/>
          <w:sz w:val="22"/>
          <w:szCs w:val="22"/>
        </w:rPr>
        <w:t xml:space="preserve">Z 2 609 subjektů bylo z důvodu ekonomické nestability povolení zrušeno 10 subjektům a v některých případech došlo ke zvýšení zajištění daně, případně zvýšení vkladů do společnosti.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Od roku 2013 byla postupně zavedena povinnost registrace pro osoby značící lihoviny kontrolní páskou, distributory lihu, osoby nakládající se zvláštními minerálními oleji a osoby skladující surový tabák. K 31. 12. 2015 bylo evidováno 369 aktivních subjektů. Přihlášky k</w:t>
      </w:r>
      <w:r w:rsidR="002C6333">
        <w:rPr>
          <w:rFonts w:ascii="Arial" w:hAnsi="Arial" w:cs="Arial"/>
          <w:bCs/>
          <w:i/>
          <w:sz w:val="22"/>
          <w:szCs w:val="22"/>
        </w:rPr>
        <w:t> </w:t>
      </w:r>
      <w:r w:rsidRPr="006E3C49">
        <w:rPr>
          <w:rFonts w:ascii="Arial" w:hAnsi="Arial" w:cs="Arial"/>
          <w:bCs/>
          <w:i/>
          <w:sz w:val="22"/>
          <w:szCs w:val="22"/>
        </w:rPr>
        <w:t>registraci se podávají elektronicky. Dále byla zavedena povinnost vybavit sledovacím zařízením prostory určené ke značení lihovin kontrolními páskami, která se v roce 2015 týkala cca 136 subjektů. Přínosem je získání přehledu o subjektech nakládajících s lihem a</w:t>
      </w:r>
      <w:r w:rsidR="002C6333">
        <w:rPr>
          <w:rFonts w:ascii="Arial" w:hAnsi="Arial" w:cs="Arial"/>
          <w:bCs/>
          <w:i/>
          <w:sz w:val="22"/>
          <w:szCs w:val="22"/>
        </w:rPr>
        <w:t> </w:t>
      </w:r>
      <w:r w:rsidRPr="006E3C49">
        <w:rPr>
          <w:rFonts w:ascii="Arial" w:hAnsi="Arial" w:cs="Arial"/>
          <w:bCs/>
          <w:i/>
          <w:sz w:val="22"/>
          <w:szCs w:val="22"/>
        </w:rPr>
        <w:t xml:space="preserve">přímý dohled nad značením lihovin kontrolními páskami. CS ČR s těmito povinnostmi narůstají administrativní náklady na sledování záznamů a náklady na správní řízení ve věci registračních řízení. Daňovým subjektům vznikly náklady na pořízení a provoz sledovacích zařízení, zpracování a podání žádostí o registraci.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Daňové subjekty dle zákona o spotřebních daních, zákona o povinném značení lihu a</w:t>
      </w:r>
      <w:r w:rsidR="002C6333">
        <w:rPr>
          <w:rFonts w:ascii="Arial" w:hAnsi="Arial" w:cs="Arial"/>
          <w:bCs/>
          <w:i/>
          <w:sz w:val="22"/>
          <w:szCs w:val="22"/>
        </w:rPr>
        <w:t> </w:t>
      </w:r>
      <w:r w:rsidRPr="006E3C49">
        <w:rPr>
          <w:rFonts w:ascii="Arial" w:hAnsi="Arial" w:cs="Arial"/>
          <w:bCs/>
          <w:i/>
          <w:sz w:val="22"/>
          <w:szCs w:val="22"/>
        </w:rPr>
        <w:t>zákona o pohonných hmotách jsou povinny elektronicky zasílat podrobné informace o</w:t>
      </w:r>
      <w:r w:rsidR="002C6333">
        <w:rPr>
          <w:rFonts w:ascii="Arial" w:hAnsi="Arial" w:cs="Arial"/>
          <w:bCs/>
          <w:i/>
          <w:sz w:val="22"/>
          <w:szCs w:val="22"/>
        </w:rPr>
        <w:t> </w:t>
      </w:r>
      <w:r w:rsidRPr="006E3C49">
        <w:rPr>
          <w:rFonts w:ascii="Arial" w:hAnsi="Arial" w:cs="Arial"/>
          <w:bCs/>
          <w:i/>
          <w:sz w:val="22"/>
          <w:szCs w:val="22"/>
        </w:rPr>
        <w:t>nakládání s v. v. a kontrolními páskami bezprostředně po dni, kdy došlo k rozhodné skutečnosti, případně po skončení kalendářního měsíce. V roce 2015 bylo podáno cca 11,5</w:t>
      </w:r>
      <w:r w:rsidR="002C6333">
        <w:rPr>
          <w:rFonts w:ascii="Arial" w:hAnsi="Arial" w:cs="Arial"/>
          <w:bCs/>
          <w:i/>
          <w:sz w:val="22"/>
          <w:szCs w:val="22"/>
        </w:rPr>
        <w:t> </w:t>
      </w:r>
      <w:r w:rsidRPr="006E3C49">
        <w:rPr>
          <w:rFonts w:ascii="Arial" w:hAnsi="Arial" w:cs="Arial"/>
          <w:bCs/>
          <w:i/>
          <w:sz w:val="22"/>
          <w:szCs w:val="22"/>
        </w:rPr>
        <w:t xml:space="preserve">mil. oznámení. Přínosem je vyšší dohled nad nakládáním s v. v. a možnost ověření aktuálního stavu v. v. ve skladech, ověření dostatečnosti zajištění a ověření podaných daňových přiznání (dále také „DAP“). Výdaje na správu kontrolních pásek se však mezi roky 2013 až 2015 zvýšily z 6,62 mil. Kč na 15,75 mil. Kč.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Zvýšení administrativních nákladů přineslo i znovuzavedení vracení spotřební daně z</w:t>
      </w:r>
      <w:r w:rsidR="002C6333">
        <w:rPr>
          <w:rFonts w:ascii="Arial" w:hAnsi="Arial" w:cs="Arial"/>
          <w:bCs/>
          <w:i/>
          <w:sz w:val="22"/>
          <w:szCs w:val="22"/>
        </w:rPr>
        <w:t> </w:t>
      </w:r>
      <w:r w:rsidRPr="006E3C49">
        <w:rPr>
          <w:rFonts w:ascii="Arial" w:hAnsi="Arial" w:cs="Arial"/>
          <w:bCs/>
          <w:i/>
          <w:sz w:val="22"/>
          <w:szCs w:val="22"/>
        </w:rPr>
        <w:t xml:space="preserve">minerálních olejů spotřebovaných v zemědělské prvovýrobě subjekty provozujícími rostlinnou výrobu. V roce 2015 bylo uplatněno 64,5 tis. těchto vratek (vratka 1,173 mld. Kč). Vládou ČR připravované zavedení vracení spotřební daně z pohonných hmot i zemědělcům s živočišnou výrobou přinese další administrativní náklady. </w:t>
      </w:r>
    </w:p>
    <w:p w:rsidR="006E3C49" w:rsidRPr="006E3C49" w:rsidRDefault="006E3C49" w:rsidP="006E3C49">
      <w:pPr>
        <w:jc w:val="both"/>
        <w:rPr>
          <w:rFonts w:ascii="Arial" w:hAnsi="Arial" w:cs="Arial"/>
          <w:bCs/>
          <w:i/>
          <w:sz w:val="22"/>
          <w:szCs w:val="22"/>
        </w:rPr>
      </w:pPr>
      <w:r w:rsidRPr="00CC2666">
        <w:rPr>
          <w:rFonts w:ascii="Arial" w:hAnsi="Arial" w:cs="Arial"/>
          <w:b/>
          <w:bCs/>
          <w:i/>
          <w:sz w:val="22"/>
          <w:szCs w:val="22"/>
        </w:rPr>
        <w:t>Nákladovost správy SPED negativně ovlivňuje narůstající rozsah povinností a počet subjektů, kterých se dotýkají. Růst není vyvážen snížením administrativní náročnosti na jiných místech. Přínosem je vyšší úroveň dohledu nad nakládáním s vybranými výrobky a snížení rizika vzniku daňových nedoplatků</w:t>
      </w:r>
      <w:r w:rsidRPr="006E3C49">
        <w:rPr>
          <w:rFonts w:ascii="Arial" w:hAnsi="Arial" w:cs="Arial"/>
          <w:bCs/>
          <w:i/>
          <w:sz w:val="22"/>
          <w:szCs w:val="22"/>
        </w:rPr>
        <w:t>.</w:t>
      </w:r>
      <w:r>
        <w:rPr>
          <w:rFonts w:ascii="Arial" w:hAnsi="Arial" w:cs="Arial"/>
          <w:bCs/>
          <w:i/>
          <w:sz w:val="22"/>
          <w:szCs w:val="22"/>
        </w:rPr>
        <w:t>“</w:t>
      </w:r>
    </w:p>
    <w:p w:rsidR="00E67D42" w:rsidRDefault="00E67D42" w:rsidP="00244851">
      <w:pPr>
        <w:autoSpaceDE w:val="0"/>
        <w:autoSpaceDN w:val="0"/>
        <w:adjustRightInd w:val="0"/>
        <w:jc w:val="both"/>
        <w:outlineLvl w:val="0"/>
        <w:rPr>
          <w:rFonts w:ascii="Arial" w:hAnsi="Arial" w:cs="Arial"/>
          <w:bCs/>
          <w:i/>
          <w:iCs/>
          <w:sz w:val="22"/>
          <w:szCs w:val="22"/>
        </w:rPr>
      </w:pPr>
    </w:p>
    <w:p w:rsidR="000C73FA" w:rsidRPr="004D4E28" w:rsidRDefault="000C73FA" w:rsidP="000C73FA">
      <w:pPr>
        <w:autoSpaceDE w:val="0"/>
        <w:autoSpaceDN w:val="0"/>
        <w:adjustRightInd w:val="0"/>
        <w:jc w:val="both"/>
        <w:outlineLvl w:val="0"/>
        <w:rPr>
          <w:rFonts w:ascii="Arial" w:hAnsi="Arial" w:cs="Arial"/>
          <w:bCs/>
          <w:iCs/>
          <w:sz w:val="22"/>
          <w:szCs w:val="22"/>
        </w:rPr>
      </w:pPr>
      <w:r w:rsidRPr="004D4E28">
        <w:rPr>
          <w:rFonts w:ascii="Arial" w:hAnsi="Arial" w:cs="Arial"/>
          <w:bCs/>
          <w:iCs/>
          <w:sz w:val="22"/>
          <w:szCs w:val="22"/>
          <w:u w:val="single"/>
        </w:rPr>
        <w:t xml:space="preserve">Stanovisko </w:t>
      </w:r>
      <w:r w:rsidR="006E3C49">
        <w:rPr>
          <w:rFonts w:ascii="Arial" w:hAnsi="Arial" w:cs="Arial"/>
          <w:bCs/>
          <w:iCs/>
          <w:sz w:val="22"/>
          <w:szCs w:val="22"/>
          <w:u w:val="single"/>
        </w:rPr>
        <w:t>GŘC</w:t>
      </w:r>
      <w:r w:rsidRPr="004D4E28">
        <w:rPr>
          <w:rFonts w:ascii="Arial" w:hAnsi="Arial" w:cs="Arial"/>
          <w:bCs/>
          <w:iCs/>
          <w:sz w:val="22"/>
          <w:szCs w:val="22"/>
          <w:u w:val="single"/>
        </w:rPr>
        <w:t>:</w:t>
      </w: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 xml:space="preserve">Zvýšená administrativní náročnost a snižující se efektivnost správy SPD byla vyvolána mimo jiné i novelou zákona č. 353/2003 Sb. </w:t>
      </w:r>
      <w:r w:rsidR="00006DE8" w:rsidRPr="00006DE8">
        <w:rPr>
          <w:rFonts w:ascii="Arial" w:hAnsi="Arial" w:cs="Arial"/>
          <w:bCs/>
          <w:iCs/>
          <w:sz w:val="22"/>
          <w:szCs w:val="22"/>
        </w:rPr>
        <w:t xml:space="preserve">o spotřebních daních </w:t>
      </w:r>
      <w:r w:rsidRPr="00DD5DD5">
        <w:rPr>
          <w:rFonts w:ascii="Arial" w:hAnsi="Arial" w:cs="Arial"/>
          <w:bCs/>
          <w:iCs/>
          <w:sz w:val="22"/>
          <w:szCs w:val="22"/>
        </w:rPr>
        <w:t>a zákonem č. 307/2013 Sb., o</w:t>
      </w:r>
      <w:r w:rsidR="00006DE8">
        <w:rPr>
          <w:rFonts w:ascii="Arial" w:hAnsi="Arial" w:cs="Arial"/>
          <w:bCs/>
          <w:iCs/>
          <w:sz w:val="22"/>
          <w:szCs w:val="22"/>
        </w:rPr>
        <w:t> </w:t>
      </w:r>
      <w:r w:rsidRPr="00DD5DD5">
        <w:rPr>
          <w:rFonts w:ascii="Arial" w:hAnsi="Arial" w:cs="Arial"/>
          <w:bCs/>
          <w:iCs/>
          <w:sz w:val="22"/>
          <w:szCs w:val="22"/>
        </w:rPr>
        <w:t>povinném značení lihu.</w:t>
      </w: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V letech 2014-2015 byl nárůst vratek zelené nafty cca dvojnásobný.</w:t>
      </w:r>
    </w:p>
    <w:p w:rsidR="00E03962" w:rsidRPr="00DD5DD5" w:rsidRDefault="00E03962" w:rsidP="00DD5DD5">
      <w:pPr>
        <w:jc w:val="both"/>
        <w:rPr>
          <w:rFonts w:ascii="Arial" w:hAnsi="Arial" w:cs="Arial"/>
          <w:bCs/>
          <w:iCs/>
          <w:sz w:val="22"/>
          <w:szCs w:val="22"/>
        </w:rPr>
      </w:pPr>
      <w:r w:rsidRPr="008820DF">
        <w:rPr>
          <w:rFonts w:ascii="Arial" w:hAnsi="Arial" w:cs="Arial"/>
          <w:bCs/>
          <w:iCs/>
          <w:sz w:val="22"/>
          <w:szCs w:val="22"/>
        </w:rPr>
        <w:t>Legislativní proces v oblasti spotřebních daní neustále sleduje mj. tendence šedé ekonomiky se snahou zmírnit nebo odstranit její negativní vlivy (např. „metanolová kauza“). Rovněž pak je, v souladu se současným trendem legislativní tvorby, upřednostňována tvorba kratších paragrafů a text, který by dříve byl sloučen do jednoho paragrafu, který byl dále nezřídka hluboce strukturován (odstavce, písmena, body a odrážky) je tedy rozdělen do několika krátkých samostatných, tematicky propojených paragrafů (viz např. § 43a až 43q platného znění zákona o spotřebních daních, které obsahují proces vydávání, měnění a rušení povolení, ve srovnání např. s § 20 platným do 31. 12. 2014). Již jen tato změna „slohu“ normotvorby způsobuje zvýšení počtu paragrafů (velmi zřetelná je při srovnání starého a</w:t>
      </w:r>
      <w:r w:rsidR="00DD5DD5" w:rsidRPr="008820DF">
        <w:rPr>
          <w:rFonts w:ascii="Arial" w:hAnsi="Arial" w:cs="Arial"/>
          <w:bCs/>
          <w:iCs/>
          <w:sz w:val="22"/>
          <w:szCs w:val="22"/>
        </w:rPr>
        <w:t> </w:t>
      </w:r>
      <w:r w:rsidRPr="008820DF">
        <w:rPr>
          <w:rFonts w:ascii="Arial" w:hAnsi="Arial" w:cs="Arial"/>
          <w:bCs/>
          <w:iCs/>
          <w:sz w:val="22"/>
          <w:szCs w:val="22"/>
        </w:rPr>
        <w:t>nového občanského zákoníku).</w:t>
      </w:r>
      <w:r w:rsidRPr="00DD5DD5">
        <w:rPr>
          <w:rFonts w:ascii="Arial" w:hAnsi="Arial" w:cs="Arial"/>
          <w:bCs/>
          <w:iCs/>
          <w:sz w:val="22"/>
          <w:szCs w:val="22"/>
        </w:rPr>
        <w:t xml:space="preserve">  </w:t>
      </w: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CS ČR usiluje o snížení administrativy prostřednictvím IT řešení, vyšší elektronizací daňového řízení, provázaností systémů na straně správce daně i na straně daňových subjektů, umožn</w:t>
      </w:r>
      <w:r w:rsidR="002333F2">
        <w:rPr>
          <w:rFonts w:ascii="Arial" w:hAnsi="Arial" w:cs="Arial"/>
          <w:bCs/>
          <w:iCs/>
          <w:sz w:val="22"/>
          <w:szCs w:val="22"/>
        </w:rPr>
        <w:t>ění</w:t>
      </w:r>
      <w:r w:rsidRPr="00DD5DD5">
        <w:rPr>
          <w:rFonts w:ascii="Arial" w:hAnsi="Arial" w:cs="Arial"/>
          <w:bCs/>
          <w:iCs/>
          <w:sz w:val="22"/>
          <w:szCs w:val="22"/>
        </w:rPr>
        <w:t xml:space="preserve"> zrychlení, zjednodušení a tedy i zlevnění správy spotřebních daní. Ostatně celní správa ČR je v oblasti IT a elektronizace velmi aktivní dlouhodobě a je v této oblasti příkladem i pro jiné členské státy EU.</w:t>
      </w:r>
    </w:p>
    <w:p w:rsidR="00E03962" w:rsidRPr="00DD5DD5" w:rsidRDefault="00AB50DB" w:rsidP="00DD5DD5">
      <w:pPr>
        <w:jc w:val="both"/>
        <w:rPr>
          <w:rFonts w:ascii="Arial" w:hAnsi="Arial" w:cs="Arial"/>
          <w:bCs/>
          <w:iCs/>
          <w:sz w:val="22"/>
          <w:szCs w:val="22"/>
        </w:rPr>
      </w:pPr>
      <w:r w:rsidRPr="00AB50DB">
        <w:rPr>
          <w:rFonts w:ascii="Arial" w:hAnsi="Arial" w:cs="Arial"/>
          <w:bCs/>
          <w:iCs/>
          <w:sz w:val="22"/>
          <w:szCs w:val="22"/>
        </w:rPr>
        <w:t>Doporučení NKÚ „rozvíjet selektivní přístup pro spolehlivé a finančně stabilní daňové subjekty, např. obdoba statusu oprávněného hospodářského subjektu dle celních předpisů“ bude, s dodržením základních zásad správy daní, dále rozvíjen</w:t>
      </w:r>
      <w:r w:rsidR="00060419">
        <w:rPr>
          <w:rFonts w:ascii="Arial" w:hAnsi="Arial" w:cs="Arial"/>
          <w:bCs/>
          <w:iCs/>
          <w:sz w:val="22"/>
          <w:szCs w:val="22"/>
        </w:rPr>
        <w:t>o</w:t>
      </w:r>
      <w:r w:rsidRPr="00AB50DB">
        <w:rPr>
          <w:rFonts w:ascii="Arial" w:hAnsi="Arial" w:cs="Arial"/>
          <w:bCs/>
          <w:iCs/>
          <w:sz w:val="22"/>
          <w:szCs w:val="22"/>
        </w:rPr>
        <w:t>, např. zavedením systému „samovyměření“.</w:t>
      </w:r>
      <w:r w:rsidR="00E03962" w:rsidRPr="00DD5DD5">
        <w:rPr>
          <w:rFonts w:ascii="Arial" w:hAnsi="Arial" w:cs="Arial"/>
          <w:bCs/>
          <w:iCs/>
          <w:sz w:val="22"/>
          <w:szCs w:val="22"/>
        </w:rPr>
        <w:t xml:space="preserve">  </w:t>
      </w:r>
      <w:r w:rsidR="00060419">
        <w:rPr>
          <w:rFonts w:ascii="Arial" w:hAnsi="Arial" w:cs="Arial"/>
          <w:bCs/>
          <w:iCs/>
          <w:sz w:val="22"/>
          <w:szCs w:val="22"/>
        </w:rPr>
        <w:t>Stávající z</w:t>
      </w:r>
      <w:r w:rsidR="00060419" w:rsidRPr="00060419">
        <w:rPr>
          <w:rFonts w:ascii="Arial" w:hAnsi="Arial" w:cs="Arial"/>
          <w:bCs/>
          <w:iCs/>
          <w:sz w:val="22"/>
          <w:szCs w:val="22"/>
        </w:rPr>
        <w:t>ákon o spotřebních daních sice stanovuje jednotná objektivní kritéria, která musí být plněna všemi subjekty na trhu. Nastavení těchto kritérií nicméně umožňuje správci daně selektivní přístup k jednotlivým subjektům, který není v rozporu se základními pravidly uvedenými v daňovém řádu.</w:t>
      </w: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K zavedení zákonného opatření spočívajícího v povinnosti pořízení a provozu sledovacích zařízení došlo v rámci celospolečenského zadání vyplývajícího z potřeby reagovat na</w:t>
      </w:r>
      <w:r w:rsidR="00006DE8">
        <w:rPr>
          <w:rFonts w:ascii="Arial" w:hAnsi="Arial" w:cs="Arial"/>
          <w:bCs/>
          <w:iCs/>
          <w:sz w:val="22"/>
          <w:szCs w:val="22"/>
        </w:rPr>
        <w:t> </w:t>
      </w:r>
      <w:r w:rsidRPr="00DD5DD5">
        <w:rPr>
          <w:rFonts w:ascii="Arial" w:hAnsi="Arial" w:cs="Arial"/>
          <w:bCs/>
          <w:iCs/>
          <w:sz w:val="22"/>
          <w:szCs w:val="22"/>
        </w:rPr>
        <w:t>tzv.</w:t>
      </w:r>
      <w:r w:rsidR="00006DE8">
        <w:rPr>
          <w:rFonts w:ascii="Arial" w:hAnsi="Arial" w:cs="Arial"/>
          <w:bCs/>
          <w:iCs/>
          <w:sz w:val="22"/>
          <w:szCs w:val="22"/>
        </w:rPr>
        <w:t> </w:t>
      </w:r>
      <w:r w:rsidRPr="00DD5DD5">
        <w:rPr>
          <w:rFonts w:ascii="Arial" w:hAnsi="Arial" w:cs="Arial"/>
          <w:bCs/>
          <w:iCs/>
          <w:sz w:val="22"/>
          <w:szCs w:val="22"/>
        </w:rPr>
        <w:t>metanolovou kauzu. Jedním z možných opatření bylo také oprávnění správce daně zřídit u výrobců lihovin tzv. stálý daňový dozor spočívající ve stálé (nepřetržité) přítomnosti pracovníků správce daně v provozovnách daňových subjektů. Po zvážení ekonomických a</w:t>
      </w:r>
      <w:r w:rsidR="00DD5DD5">
        <w:rPr>
          <w:rFonts w:ascii="Arial" w:hAnsi="Arial" w:cs="Arial"/>
          <w:bCs/>
          <w:iCs/>
          <w:sz w:val="22"/>
          <w:szCs w:val="22"/>
        </w:rPr>
        <w:t> </w:t>
      </w:r>
      <w:r w:rsidRPr="00DD5DD5">
        <w:rPr>
          <w:rFonts w:ascii="Arial" w:hAnsi="Arial" w:cs="Arial"/>
          <w:bCs/>
          <w:iCs/>
          <w:sz w:val="22"/>
          <w:szCs w:val="22"/>
        </w:rPr>
        <w:t>personálních nákladů na straně správce daně, ale i ekonomických a provozně technických nákladů kladených na výrobce lihovin (povinnost poskytnout prostory pro správce daně, vytápění, WC, apod.) bylo rozhodnuto o variantě kamerových systémů, jako o variantě nesporně ekonomicky příznivější. Jedná se o opatření, kterým bylo dosaženo smyslu a</w:t>
      </w:r>
      <w:r w:rsidR="00DD5DD5">
        <w:rPr>
          <w:rFonts w:ascii="Arial" w:hAnsi="Arial" w:cs="Arial"/>
          <w:bCs/>
          <w:iCs/>
          <w:sz w:val="22"/>
          <w:szCs w:val="22"/>
        </w:rPr>
        <w:t> </w:t>
      </w:r>
      <w:r w:rsidRPr="00DD5DD5">
        <w:rPr>
          <w:rFonts w:ascii="Arial" w:hAnsi="Arial" w:cs="Arial"/>
          <w:bCs/>
          <w:iCs/>
          <w:sz w:val="22"/>
          <w:szCs w:val="22"/>
        </w:rPr>
        <w:t>požadavku zákona s nejmenšími náklady pro všechny strany. Ostatně tato myšlenka je vyjádřena i v důvodové zprávě k § 22 zákona</w:t>
      </w:r>
      <w:r w:rsidR="00006DE8">
        <w:rPr>
          <w:rFonts w:ascii="Arial" w:hAnsi="Arial" w:cs="Arial"/>
          <w:bCs/>
          <w:iCs/>
          <w:sz w:val="22"/>
          <w:szCs w:val="22"/>
        </w:rPr>
        <w:t xml:space="preserve"> </w:t>
      </w:r>
      <w:r w:rsidR="00006DE8" w:rsidRPr="00006DE8">
        <w:rPr>
          <w:rFonts w:ascii="Arial" w:hAnsi="Arial" w:cs="Arial"/>
          <w:bCs/>
          <w:iCs/>
          <w:sz w:val="22"/>
          <w:szCs w:val="22"/>
        </w:rPr>
        <w:t>o spotřebních daních</w:t>
      </w:r>
      <w:r w:rsidRPr="00DD5DD5">
        <w:rPr>
          <w:rFonts w:ascii="Arial" w:hAnsi="Arial" w:cs="Arial"/>
          <w:bCs/>
          <w:iCs/>
          <w:sz w:val="22"/>
          <w:szCs w:val="22"/>
        </w:rPr>
        <w:t>.</w:t>
      </w:r>
    </w:p>
    <w:p w:rsidR="000C73FA" w:rsidRDefault="00E03962" w:rsidP="00DD5DD5">
      <w:pPr>
        <w:jc w:val="both"/>
        <w:rPr>
          <w:rFonts w:ascii="Arial" w:hAnsi="Arial" w:cs="Arial"/>
          <w:bCs/>
          <w:iCs/>
          <w:sz w:val="22"/>
          <w:szCs w:val="22"/>
        </w:rPr>
      </w:pPr>
      <w:r w:rsidRPr="00DD5DD5">
        <w:rPr>
          <w:rFonts w:ascii="Arial" w:hAnsi="Arial" w:cs="Arial"/>
          <w:bCs/>
          <w:iCs/>
          <w:sz w:val="22"/>
          <w:szCs w:val="22"/>
        </w:rPr>
        <w:t>Počet zaměstnanců zajišťujících správu kontrolních pásek se mezi roky 2013 až 2015 zvýšil na více než dvojnásobek, což vedlo ke zvýšení nákladů. Zvýšení bylo provedeno z důvodu nárůstu administrativy spojené se zvýšenou kontrolní činností v oblasti lihu a lihovin.</w:t>
      </w:r>
    </w:p>
    <w:p w:rsidR="00F13C7A" w:rsidRDefault="00F13C7A" w:rsidP="000C73FA">
      <w:pPr>
        <w:autoSpaceDE w:val="0"/>
        <w:autoSpaceDN w:val="0"/>
        <w:adjustRightInd w:val="0"/>
        <w:jc w:val="both"/>
        <w:outlineLvl w:val="0"/>
        <w:rPr>
          <w:rFonts w:ascii="Arial" w:hAnsi="Arial" w:cs="Arial"/>
          <w:bCs/>
          <w:iCs/>
          <w:sz w:val="22"/>
          <w:szCs w:val="22"/>
        </w:rPr>
      </w:pPr>
    </w:p>
    <w:p w:rsidR="000C73FA" w:rsidRPr="000C73FA" w:rsidRDefault="000C73FA" w:rsidP="000C73FA">
      <w:pPr>
        <w:autoSpaceDE w:val="0"/>
        <w:autoSpaceDN w:val="0"/>
        <w:adjustRightInd w:val="0"/>
        <w:jc w:val="both"/>
        <w:outlineLvl w:val="0"/>
        <w:rPr>
          <w:rFonts w:ascii="Arial" w:hAnsi="Arial" w:cs="Arial"/>
          <w:bCs/>
          <w:iCs/>
          <w:sz w:val="22"/>
          <w:szCs w:val="22"/>
        </w:rPr>
      </w:pPr>
      <w:r w:rsidRPr="000C73FA">
        <w:rPr>
          <w:rFonts w:ascii="Arial" w:hAnsi="Arial" w:cs="Arial"/>
          <w:bCs/>
          <w:iCs/>
          <w:sz w:val="22"/>
          <w:szCs w:val="22"/>
          <w:u w:val="single"/>
        </w:rPr>
        <w:t xml:space="preserve">Opatření </w:t>
      </w:r>
      <w:r w:rsidR="006E3C49" w:rsidRPr="006E3C49">
        <w:rPr>
          <w:rFonts w:ascii="Arial" w:hAnsi="Arial" w:cs="Arial"/>
          <w:bCs/>
          <w:iCs/>
          <w:sz w:val="22"/>
          <w:szCs w:val="22"/>
          <w:u w:val="single"/>
        </w:rPr>
        <w:t>GŘC</w:t>
      </w:r>
      <w:r w:rsidRPr="000C73FA">
        <w:rPr>
          <w:rFonts w:ascii="Arial" w:hAnsi="Arial" w:cs="Arial"/>
          <w:bCs/>
          <w:iCs/>
          <w:sz w:val="22"/>
          <w:szCs w:val="22"/>
          <w:u w:val="single"/>
        </w:rPr>
        <w:t>:</w:t>
      </w:r>
    </w:p>
    <w:p w:rsidR="002C6333" w:rsidRPr="002C6333" w:rsidRDefault="002C6333" w:rsidP="002C6333">
      <w:pPr>
        <w:jc w:val="both"/>
        <w:rPr>
          <w:rFonts w:ascii="Arial" w:hAnsi="Arial" w:cs="Arial"/>
          <w:bCs/>
          <w:iCs/>
          <w:sz w:val="22"/>
          <w:szCs w:val="22"/>
        </w:rPr>
      </w:pPr>
      <w:r w:rsidRPr="002C6333">
        <w:rPr>
          <w:rFonts w:ascii="Arial" w:hAnsi="Arial" w:cs="Arial"/>
          <w:bCs/>
          <w:iCs/>
          <w:sz w:val="22"/>
          <w:szCs w:val="22"/>
        </w:rPr>
        <w:t>Vzhledem ke stanovisku GŘC opatření nepřijímá.</w:t>
      </w:r>
    </w:p>
    <w:p w:rsidR="000C73FA" w:rsidRPr="00B722D5" w:rsidRDefault="00B722D5" w:rsidP="00B722D5">
      <w:pPr>
        <w:jc w:val="both"/>
        <w:rPr>
          <w:rFonts w:ascii="Arial" w:hAnsi="Arial" w:cs="Arial"/>
          <w:bCs/>
          <w:sz w:val="22"/>
          <w:szCs w:val="22"/>
        </w:rPr>
      </w:pPr>
      <w:r w:rsidRPr="00B722D5">
        <w:rPr>
          <w:rFonts w:ascii="Arial" w:hAnsi="Arial" w:cs="Arial"/>
          <w:bCs/>
          <w:sz w:val="22"/>
          <w:szCs w:val="22"/>
        </w:rPr>
        <w:t>Jak NKÚ konstatuje růst nákladů</w:t>
      </w:r>
      <w:r w:rsidR="009343B9">
        <w:rPr>
          <w:rFonts w:ascii="Arial" w:hAnsi="Arial" w:cs="Arial"/>
          <w:bCs/>
          <w:sz w:val="22"/>
          <w:szCs w:val="22"/>
        </w:rPr>
        <w:t xml:space="preserve"> má své opodstatnění a přínosy.</w:t>
      </w:r>
    </w:p>
    <w:p w:rsidR="000C73FA" w:rsidRDefault="000C73FA" w:rsidP="000C73FA">
      <w:pPr>
        <w:autoSpaceDE w:val="0"/>
        <w:autoSpaceDN w:val="0"/>
        <w:adjustRightInd w:val="0"/>
        <w:jc w:val="both"/>
        <w:outlineLvl w:val="0"/>
        <w:rPr>
          <w:rFonts w:ascii="Arial" w:hAnsi="Arial" w:cs="Arial"/>
          <w:bCs/>
          <w:iCs/>
          <w:sz w:val="22"/>
          <w:szCs w:val="22"/>
        </w:rPr>
      </w:pPr>
    </w:p>
    <w:p w:rsidR="006373D8" w:rsidRDefault="006373D8" w:rsidP="00244851">
      <w:pPr>
        <w:autoSpaceDE w:val="0"/>
        <w:autoSpaceDN w:val="0"/>
        <w:adjustRightInd w:val="0"/>
        <w:jc w:val="both"/>
        <w:outlineLvl w:val="0"/>
        <w:rPr>
          <w:b/>
          <w:bCs/>
          <w:sz w:val="20"/>
          <w:szCs w:val="20"/>
        </w:rPr>
      </w:pPr>
    </w:p>
    <w:p w:rsidR="006E3C49" w:rsidRPr="006E3C49" w:rsidRDefault="006E3C49" w:rsidP="006E3C49">
      <w:pPr>
        <w:rPr>
          <w:rFonts w:ascii="Arial" w:hAnsi="Arial" w:cs="Arial"/>
          <w:b/>
          <w:bCs/>
          <w:sz w:val="22"/>
          <w:szCs w:val="22"/>
        </w:rPr>
      </w:pPr>
      <w:r w:rsidRPr="006E3C49">
        <w:rPr>
          <w:rFonts w:ascii="Arial" w:hAnsi="Arial" w:cs="Arial"/>
          <w:b/>
          <w:bCs/>
          <w:sz w:val="22"/>
          <w:szCs w:val="22"/>
        </w:rPr>
        <w:t>4. Elektronizace správy daně</w:t>
      </w:r>
    </w:p>
    <w:p w:rsidR="006E3C49" w:rsidRPr="006E3C49" w:rsidRDefault="006E3C49" w:rsidP="006E3C49">
      <w:pPr>
        <w:rPr>
          <w:rFonts w:ascii="Arial" w:hAnsi="Arial" w:cs="Arial"/>
          <w:bCs/>
          <w:sz w:val="22"/>
          <w:szCs w:val="22"/>
        </w:rPr>
      </w:pPr>
      <w:r>
        <w:rPr>
          <w:rFonts w:ascii="Arial" w:hAnsi="Arial" w:cs="Arial"/>
          <w:bCs/>
          <w:sz w:val="22"/>
          <w:szCs w:val="22"/>
        </w:rPr>
        <w:t xml:space="preserve">    </w:t>
      </w:r>
      <w:r w:rsidRPr="006E3C49">
        <w:rPr>
          <w:rFonts w:ascii="Arial" w:hAnsi="Arial" w:cs="Arial"/>
          <w:bCs/>
          <w:sz w:val="22"/>
          <w:szCs w:val="22"/>
        </w:rPr>
        <w:t>(str. 10 Kontrolního závěru)</w:t>
      </w:r>
    </w:p>
    <w:p w:rsidR="00453266" w:rsidRDefault="00453266" w:rsidP="00244851">
      <w:pPr>
        <w:jc w:val="both"/>
        <w:rPr>
          <w:rFonts w:ascii="Arial" w:hAnsi="Arial" w:cs="Arial"/>
          <w:bCs/>
          <w:i/>
          <w:iCs/>
          <w:sz w:val="22"/>
          <w:szCs w:val="22"/>
          <w:u w:val="single"/>
        </w:rPr>
      </w:pPr>
    </w:p>
    <w:p w:rsidR="00951124" w:rsidRPr="00951124" w:rsidRDefault="00951124" w:rsidP="00244851">
      <w:pPr>
        <w:jc w:val="both"/>
        <w:rPr>
          <w:rFonts w:ascii="Arial" w:hAnsi="Arial" w:cs="Arial"/>
          <w:bCs/>
          <w:i/>
          <w:iCs/>
          <w:sz w:val="22"/>
          <w:szCs w:val="22"/>
          <w:u w:val="single"/>
        </w:rPr>
      </w:pPr>
      <w:r w:rsidRPr="00951124">
        <w:rPr>
          <w:rFonts w:ascii="Arial" w:hAnsi="Arial" w:cs="Arial"/>
          <w:bCs/>
          <w:i/>
          <w:iCs/>
          <w:sz w:val="22"/>
          <w:szCs w:val="22"/>
          <w:u w:val="single"/>
        </w:rPr>
        <w:t>Zjištění NKÚ:</w:t>
      </w:r>
    </w:p>
    <w:p w:rsidR="006E3C49" w:rsidRPr="006E3C49" w:rsidRDefault="006E3C49" w:rsidP="006E3C49">
      <w:pPr>
        <w:jc w:val="both"/>
        <w:rPr>
          <w:rFonts w:ascii="Arial" w:hAnsi="Arial" w:cs="Arial"/>
          <w:bCs/>
          <w:i/>
          <w:sz w:val="22"/>
          <w:szCs w:val="22"/>
        </w:rPr>
      </w:pPr>
      <w:r>
        <w:rPr>
          <w:rFonts w:ascii="Arial" w:hAnsi="Arial" w:cs="Arial"/>
          <w:bCs/>
          <w:i/>
          <w:sz w:val="22"/>
          <w:szCs w:val="22"/>
        </w:rPr>
        <w:t>„</w:t>
      </w:r>
      <w:r w:rsidRPr="006E3C49">
        <w:rPr>
          <w:rFonts w:ascii="Arial" w:hAnsi="Arial" w:cs="Arial"/>
          <w:bCs/>
          <w:i/>
          <w:sz w:val="22"/>
          <w:szCs w:val="22"/>
        </w:rPr>
        <w:t xml:space="preserve">GŘC zavedlo tzv. interaktivní formuláře DAP, které lze zasílat datovou schránkou, ale nelze je již dále automatizovaně zpracovávat. Přínosem je omezení chybovosti podaných DAP, což spoří úkony správce daně související s řízením o opravách chybně podaných DAP. GŘC na nové aplikaci pro elektronické zpracování DAP pracuje. Efektivnost správy daně i při vytvoření aplikace umožňující podání i zpracování DAP elektronicky snižuje zákonem omezené podávání DAP elektronickou cestou pouze na subjekty mající datovou schránku (povinně auditované subjekty, právnické osoby zapsané v obchodním rejstříku).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GŘC v souladu s právními předpisy vytvořilo informační systém, případně stanovilo strukturu a formát pro zasílání podrobných dat o nakládání s v. v. a kontrolními páskami. K</w:t>
      </w:r>
      <w:r w:rsidR="00DD5DD5">
        <w:rPr>
          <w:rFonts w:ascii="Arial" w:hAnsi="Arial" w:cs="Arial"/>
          <w:bCs/>
          <w:i/>
          <w:sz w:val="22"/>
          <w:szCs w:val="22"/>
        </w:rPr>
        <w:t> </w:t>
      </w:r>
      <w:r w:rsidRPr="006E3C49">
        <w:rPr>
          <w:rFonts w:ascii="Arial" w:hAnsi="Arial" w:cs="Arial"/>
          <w:bCs/>
          <w:i/>
          <w:sz w:val="22"/>
          <w:szCs w:val="22"/>
        </w:rPr>
        <w:t xml:space="preserve">automatickému zpracování zaslaných dat nebo jejich importu do aplikace, ve které jsou data dále sledována, však dochází pouze u objednávek kontrolních pásek. Analýza získaných dat probíhá prostřednictvím analytických produktů, zpracovávaných zvláštním útvarem k těmto účelům zřízeným. </w:t>
      </w:r>
    </w:p>
    <w:p w:rsidR="006E3C49" w:rsidRPr="00CC2666" w:rsidRDefault="006E3C49" w:rsidP="006E3C49">
      <w:pPr>
        <w:jc w:val="both"/>
        <w:rPr>
          <w:rFonts w:ascii="Arial" w:hAnsi="Arial" w:cs="Arial"/>
          <w:b/>
          <w:bCs/>
          <w:i/>
          <w:sz w:val="22"/>
          <w:szCs w:val="22"/>
        </w:rPr>
      </w:pPr>
      <w:r w:rsidRPr="00CC2666">
        <w:rPr>
          <w:rFonts w:ascii="Arial" w:hAnsi="Arial" w:cs="Arial"/>
          <w:b/>
          <w:bCs/>
          <w:i/>
          <w:sz w:val="22"/>
          <w:szCs w:val="22"/>
        </w:rPr>
        <w:t xml:space="preserve">Celní orgány mají dostatek informací o nakládání s vybranými výrobky, ale zatím nedostatečná automatizace zpracování dat zvyšuje administrativní náklady správce daně a váže personální kapacity CS ČR.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Podmínky pro vydání povolení a registraci k určitým činnostem musí žadatel splňovat v</w:t>
      </w:r>
      <w:r w:rsidR="00DD5DD5">
        <w:rPr>
          <w:rFonts w:ascii="Arial" w:hAnsi="Arial" w:cs="Arial"/>
          <w:bCs/>
          <w:i/>
          <w:sz w:val="22"/>
          <w:szCs w:val="22"/>
        </w:rPr>
        <w:t> </w:t>
      </w:r>
      <w:r w:rsidRPr="006E3C49">
        <w:rPr>
          <w:rFonts w:ascii="Arial" w:hAnsi="Arial" w:cs="Arial"/>
          <w:bCs/>
          <w:i/>
          <w:sz w:val="22"/>
          <w:szCs w:val="22"/>
        </w:rPr>
        <w:t>okamžiku vydání i po celou dobu trvání platnosti povolení nebo registrace, což průběžně sleduje správce daně. NKÚ zjistil, že správce daně musí vyžadovat písemnou formou některé z údajů o daňových subjektech, např. u FS ČR (ověření podmínky spolehlivosti – zda neporušily závažným způsobem daňové předpisy, podmínky bezdlužnosti – zda nemají evidovaný nedoplatek, podmínky ekonomické stability – poskytnutí ekonomických podkladů přiznání k dani z příjmů, účetní závěrky, výkazů o majetku a závazcích a příjmech a</w:t>
      </w:r>
      <w:r w:rsidR="00DD5DD5">
        <w:rPr>
          <w:rFonts w:ascii="Arial" w:hAnsi="Arial" w:cs="Arial"/>
          <w:bCs/>
          <w:i/>
          <w:sz w:val="22"/>
          <w:szCs w:val="22"/>
        </w:rPr>
        <w:t> </w:t>
      </w:r>
      <w:r w:rsidRPr="006E3C49">
        <w:rPr>
          <w:rFonts w:ascii="Arial" w:hAnsi="Arial" w:cs="Arial"/>
          <w:bCs/>
          <w:i/>
          <w:sz w:val="22"/>
          <w:szCs w:val="22"/>
        </w:rPr>
        <w:t>výdajích). Zajištění plné elektronizace sdílení dat mezi orgány státní správy (např. FS ČR), a to pro účely povolovacího a registračního řízení dle zákona o spotřebních daních a</w:t>
      </w:r>
      <w:r w:rsidR="00DD5DD5">
        <w:rPr>
          <w:rFonts w:ascii="Arial" w:hAnsi="Arial" w:cs="Arial"/>
          <w:bCs/>
          <w:i/>
          <w:sz w:val="22"/>
          <w:szCs w:val="22"/>
        </w:rPr>
        <w:t> </w:t>
      </w:r>
      <w:r w:rsidRPr="006E3C49">
        <w:rPr>
          <w:rFonts w:ascii="Arial" w:hAnsi="Arial" w:cs="Arial"/>
          <w:bCs/>
          <w:i/>
          <w:sz w:val="22"/>
          <w:szCs w:val="22"/>
        </w:rPr>
        <w:t xml:space="preserve">souvisejících právních předpisů, by snížilo administrativní náročnost ověření podmínek pro vydání povolení.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 xml:space="preserve">Elektronický systém pro dohled nad dopravou vybraných výrobků v režimu podmíněného osvobození od daně (dále také „EMCS“ – Excise Movement and Control System) byl zřízen, financován a nastaven v souladu s právními předpisy EU. Jeho cílem bylo nahradit systém založený na administraci dopravy v listinné podobě. Výdaje na pořízení aplikace činily 52 mil. Kč. Přínosem systému EMCS je: </w:t>
      </w:r>
    </w:p>
    <w:p w:rsidR="006E3C49" w:rsidRDefault="006E3C49" w:rsidP="006E3C49">
      <w:pPr>
        <w:pStyle w:val="Odstavecseseznamem"/>
        <w:numPr>
          <w:ilvl w:val="0"/>
          <w:numId w:val="24"/>
        </w:numPr>
        <w:jc w:val="both"/>
        <w:rPr>
          <w:rFonts w:ascii="Arial" w:hAnsi="Arial" w:cs="Arial"/>
          <w:bCs/>
          <w:i/>
          <w:sz w:val="22"/>
          <w:szCs w:val="22"/>
        </w:rPr>
      </w:pPr>
      <w:r w:rsidRPr="006E3C49">
        <w:rPr>
          <w:rFonts w:ascii="Arial" w:hAnsi="Arial" w:cs="Arial"/>
          <w:bCs/>
          <w:i/>
          <w:sz w:val="22"/>
          <w:szCs w:val="22"/>
        </w:rPr>
        <w:t xml:space="preserve">komplexní přehled o dopravě mezi ČR a jinými státy EU od oznámení zahájení dopravy až po její ukončení – významné je přitom snížení administrativních nákladů pro správce daně a daňové subjekty na zpracování, předávání a archivaci dokladů; </w:t>
      </w:r>
    </w:p>
    <w:p w:rsidR="006E3C49" w:rsidRDefault="006E3C49" w:rsidP="006E3C49">
      <w:pPr>
        <w:pStyle w:val="Odstavecseseznamem"/>
        <w:numPr>
          <w:ilvl w:val="0"/>
          <w:numId w:val="24"/>
        </w:numPr>
        <w:jc w:val="both"/>
        <w:rPr>
          <w:rFonts w:ascii="Arial" w:hAnsi="Arial" w:cs="Arial"/>
          <w:bCs/>
          <w:i/>
          <w:sz w:val="22"/>
          <w:szCs w:val="22"/>
        </w:rPr>
      </w:pPr>
      <w:r w:rsidRPr="006E3C49">
        <w:rPr>
          <w:rFonts w:ascii="Arial" w:hAnsi="Arial" w:cs="Arial"/>
          <w:bCs/>
          <w:i/>
          <w:sz w:val="22"/>
          <w:szCs w:val="22"/>
        </w:rPr>
        <w:t xml:space="preserve">sledování dopravy v podmíněném systému po ČR; </w:t>
      </w:r>
    </w:p>
    <w:p w:rsidR="006E3C49" w:rsidRDefault="006E3C49" w:rsidP="006E3C49">
      <w:pPr>
        <w:pStyle w:val="Odstavecseseznamem"/>
        <w:numPr>
          <w:ilvl w:val="0"/>
          <w:numId w:val="24"/>
        </w:numPr>
        <w:jc w:val="both"/>
        <w:rPr>
          <w:rFonts w:ascii="Arial" w:hAnsi="Arial" w:cs="Arial"/>
          <w:bCs/>
          <w:i/>
          <w:sz w:val="22"/>
          <w:szCs w:val="22"/>
        </w:rPr>
      </w:pPr>
      <w:r w:rsidRPr="006E3C49">
        <w:rPr>
          <w:rFonts w:ascii="Arial" w:hAnsi="Arial" w:cs="Arial"/>
          <w:bCs/>
          <w:i/>
          <w:sz w:val="22"/>
          <w:szCs w:val="22"/>
        </w:rPr>
        <w:t xml:space="preserve">napojení systému na kontrolu zajištění daně a blokaci odpovídající částky daně do ukončení dopravy; </w:t>
      </w:r>
    </w:p>
    <w:p w:rsidR="006E3C49" w:rsidRPr="006E3C49" w:rsidRDefault="006E3C49" w:rsidP="006E3C49">
      <w:pPr>
        <w:pStyle w:val="Odstavecseseznamem"/>
        <w:numPr>
          <w:ilvl w:val="0"/>
          <w:numId w:val="24"/>
        </w:numPr>
        <w:jc w:val="both"/>
        <w:rPr>
          <w:rFonts w:ascii="Arial" w:hAnsi="Arial" w:cs="Arial"/>
          <w:bCs/>
          <w:i/>
          <w:sz w:val="22"/>
          <w:szCs w:val="22"/>
        </w:rPr>
      </w:pPr>
      <w:r w:rsidRPr="006E3C49">
        <w:rPr>
          <w:rFonts w:ascii="Arial" w:hAnsi="Arial" w:cs="Arial"/>
          <w:bCs/>
          <w:i/>
          <w:sz w:val="22"/>
          <w:szCs w:val="22"/>
        </w:rPr>
        <w:t xml:space="preserve">napojení na systém rizikové analýzy s povinnou reakcí na rizikový profil. </w:t>
      </w:r>
    </w:p>
    <w:p w:rsidR="006E3C49" w:rsidRPr="006E3C49" w:rsidRDefault="006E3C49" w:rsidP="006E3C49">
      <w:pPr>
        <w:jc w:val="both"/>
        <w:rPr>
          <w:rFonts w:ascii="Arial" w:hAnsi="Arial" w:cs="Arial"/>
          <w:bCs/>
          <w:i/>
          <w:sz w:val="22"/>
          <w:szCs w:val="22"/>
        </w:rPr>
      </w:pP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 xml:space="preserve">Kontrolou NKÚ bylo zjištěno, že GŘC vyvíjí dostatečné aktivity k zajištění dohledu nad dopravou v. v. ve volném daňovém oběhu (dále také „VDO“). Od července 2015 zavedlo GŘC elektronický systém pro vyhotovování alternativních dokladů, který umožňuje akceptaci dokladů vystavených elektronicky prostřednictvím aplikace CS ČR. Alternativní doklady slouží k prokázání zdanění v. v. na území ČR, resp. k prokázání oprávněného nabytí v. v. osvobozených od daně při kontrole CS ČR na cestě. Přínosem je lepší přehled o množství, pohybu a nakládání s v. v. a také omezení použití dokladů k opakované dopravě v. v. </w:t>
      </w:r>
      <w:r w:rsidRPr="00CC2666">
        <w:rPr>
          <w:rFonts w:ascii="Arial" w:hAnsi="Arial" w:cs="Arial"/>
          <w:b/>
          <w:bCs/>
          <w:i/>
          <w:sz w:val="22"/>
          <w:szCs w:val="22"/>
        </w:rPr>
        <w:t>Potenciál elektronického systému pro vystavování alternativních dokladů snižuje skutečnost, že jeho použití není závazné pro osoby nakládající s lihem.</w:t>
      </w:r>
      <w:r w:rsidRPr="006E3C49">
        <w:rPr>
          <w:rFonts w:ascii="Arial" w:hAnsi="Arial" w:cs="Arial"/>
          <w:bCs/>
          <w:i/>
          <w:sz w:val="22"/>
          <w:szCs w:val="22"/>
        </w:rPr>
        <w:t xml:space="preserve">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 xml:space="preserve">V případě dopravy ve VDO mezi ČR a jinými členskými státy EU prováděné na základě zjednodušených průvodních dokladů je přiznání a uhrazení daně zajištěno.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 xml:space="preserve">Trvalými riziky, která CS ČR řeší a která zvyšují nákladovost CS ČR, jsou: </w:t>
      </w:r>
    </w:p>
    <w:p w:rsidR="006E3C49" w:rsidRDefault="006E3C49" w:rsidP="006E3C49">
      <w:pPr>
        <w:pStyle w:val="Odstavecseseznamem"/>
        <w:numPr>
          <w:ilvl w:val="0"/>
          <w:numId w:val="25"/>
        </w:numPr>
        <w:jc w:val="both"/>
        <w:rPr>
          <w:rFonts w:ascii="Arial" w:hAnsi="Arial" w:cs="Arial"/>
          <w:bCs/>
          <w:i/>
          <w:sz w:val="22"/>
          <w:szCs w:val="22"/>
        </w:rPr>
      </w:pPr>
      <w:r w:rsidRPr="006E3C49">
        <w:rPr>
          <w:rFonts w:ascii="Arial" w:hAnsi="Arial" w:cs="Arial"/>
          <w:bCs/>
          <w:i/>
          <w:sz w:val="22"/>
          <w:szCs w:val="22"/>
        </w:rPr>
        <w:t xml:space="preserve">přeprava v. v. po vedlejších komunikacích, přeprava v dopravních prostředcích určených na jiné zboží; </w:t>
      </w:r>
    </w:p>
    <w:p w:rsidR="006E3C49" w:rsidRDefault="006E3C49" w:rsidP="006E3C49">
      <w:pPr>
        <w:pStyle w:val="Odstavecseseznamem"/>
        <w:numPr>
          <w:ilvl w:val="0"/>
          <w:numId w:val="25"/>
        </w:numPr>
        <w:jc w:val="both"/>
        <w:rPr>
          <w:rFonts w:ascii="Arial" w:hAnsi="Arial" w:cs="Arial"/>
          <w:bCs/>
          <w:i/>
          <w:sz w:val="22"/>
          <w:szCs w:val="22"/>
        </w:rPr>
      </w:pPr>
      <w:r w:rsidRPr="006E3C49">
        <w:rPr>
          <w:rFonts w:ascii="Arial" w:hAnsi="Arial" w:cs="Arial"/>
          <w:bCs/>
          <w:i/>
          <w:sz w:val="22"/>
          <w:szCs w:val="22"/>
        </w:rPr>
        <w:t xml:space="preserve">přeprava jiných výrobků, než je uvedeno v průvodních dokladech; </w:t>
      </w:r>
    </w:p>
    <w:p w:rsidR="006E3C49" w:rsidRDefault="006E3C49" w:rsidP="006E3C49">
      <w:pPr>
        <w:pStyle w:val="Odstavecseseznamem"/>
        <w:numPr>
          <w:ilvl w:val="0"/>
          <w:numId w:val="25"/>
        </w:numPr>
        <w:jc w:val="both"/>
        <w:rPr>
          <w:rFonts w:ascii="Arial" w:hAnsi="Arial" w:cs="Arial"/>
          <w:bCs/>
          <w:i/>
          <w:sz w:val="22"/>
          <w:szCs w:val="22"/>
        </w:rPr>
      </w:pPr>
      <w:r w:rsidRPr="006E3C49">
        <w:rPr>
          <w:rFonts w:ascii="Arial" w:hAnsi="Arial" w:cs="Arial"/>
          <w:bCs/>
          <w:i/>
          <w:sz w:val="22"/>
          <w:szCs w:val="22"/>
        </w:rPr>
        <w:t xml:space="preserve">doprava vozidlem monitorujícím výskyt hlídek CS ČR s cílem vyhnout se kontrole; </w:t>
      </w:r>
    </w:p>
    <w:p w:rsidR="006E3C49" w:rsidRPr="006E3C49" w:rsidRDefault="006E3C49" w:rsidP="006E3C49">
      <w:pPr>
        <w:pStyle w:val="Odstavecseseznamem"/>
        <w:numPr>
          <w:ilvl w:val="0"/>
          <w:numId w:val="25"/>
        </w:numPr>
        <w:jc w:val="both"/>
        <w:rPr>
          <w:rFonts w:ascii="Arial" w:hAnsi="Arial" w:cs="Arial"/>
          <w:bCs/>
          <w:i/>
          <w:sz w:val="22"/>
          <w:szCs w:val="22"/>
        </w:rPr>
      </w:pPr>
      <w:r w:rsidRPr="006E3C49">
        <w:rPr>
          <w:rFonts w:ascii="Arial" w:hAnsi="Arial" w:cs="Arial"/>
          <w:bCs/>
          <w:i/>
          <w:sz w:val="22"/>
          <w:szCs w:val="22"/>
        </w:rPr>
        <w:t xml:space="preserve">omezená možnost fyzické identifikace obsahu cisteren se spodním plněním (GŘC zkouší technologii pro odběr vzorků z takových přepravních prostředků).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 xml:space="preserve">Rizikem obcházení daňových předpisů jsou místa, kde dochází k míchání pohonných hmot, jejich skladování a následnému výdeji z tzv. provozních nádrží, které nejsou evidovány. CS ČR nezbývá než taková místa vyhledávat, avšak kontrola legálnosti nabytí skladovaných pohonných hmot, jejich původu a zdanění je problematická a personálně náročná činnost. Zavedení povinnosti evidence provozních nádrží jako speciální formy čerpací stanice by zvýšilo efektivitu správy daně. </w:t>
      </w:r>
    </w:p>
    <w:p w:rsidR="006E3C49" w:rsidRPr="006E3C49" w:rsidRDefault="006E3C49" w:rsidP="006E3C49">
      <w:pPr>
        <w:jc w:val="both"/>
        <w:rPr>
          <w:rFonts w:ascii="Arial" w:hAnsi="Arial" w:cs="Arial"/>
          <w:bCs/>
          <w:i/>
          <w:sz w:val="22"/>
          <w:szCs w:val="22"/>
        </w:rPr>
      </w:pPr>
      <w:r w:rsidRPr="00CC2666">
        <w:rPr>
          <w:rFonts w:ascii="Arial" w:hAnsi="Arial" w:cs="Arial"/>
          <w:b/>
          <w:bCs/>
          <w:i/>
          <w:sz w:val="22"/>
          <w:szCs w:val="22"/>
        </w:rPr>
        <w:t>Cíl omezovat daňové úniky je v oblasti SPED naplňován zejména zaváděním nových legislativních opatření a novými postupy CS ČR. Snižování popsaných rizik je ekonomicky značně náročné, avšak pro účinnost systému správy SPED a naplnění cíle správy daně nezbytné</w:t>
      </w:r>
      <w:r w:rsidRPr="006E3C49">
        <w:rPr>
          <w:rFonts w:ascii="Arial" w:hAnsi="Arial" w:cs="Arial"/>
          <w:bCs/>
          <w:i/>
          <w:sz w:val="22"/>
          <w:szCs w:val="22"/>
        </w:rPr>
        <w:t>.</w:t>
      </w:r>
      <w:r>
        <w:rPr>
          <w:rFonts w:ascii="Arial" w:hAnsi="Arial" w:cs="Arial"/>
          <w:bCs/>
          <w:i/>
          <w:sz w:val="22"/>
          <w:szCs w:val="22"/>
        </w:rPr>
        <w:t>“</w:t>
      </w:r>
      <w:r w:rsidRPr="006E3C49">
        <w:rPr>
          <w:rFonts w:ascii="Arial" w:hAnsi="Arial" w:cs="Arial"/>
          <w:bCs/>
          <w:i/>
          <w:sz w:val="22"/>
          <w:szCs w:val="22"/>
        </w:rPr>
        <w:t xml:space="preserve"> </w:t>
      </w:r>
    </w:p>
    <w:p w:rsidR="00951124" w:rsidRDefault="00951124" w:rsidP="00244851">
      <w:pPr>
        <w:jc w:val="both"/>
        <w:rPr>
          <w:rFonts w:ascii="Arial" w:hAnsi="Arial" w:cs="Arial"/>
          <w:i/>
          <w:sz w:val="22"/>
          <w:szCs w:val="22"/>
        </w:rPr>
      </w:pPr>
    </w:p>
    <w:p w:rsidR="00D278F9" w:rsidRPr="00EE1C89" w:rsidRDefault="006E3C49" w:rsidP="00D278F9">
      <w:pPr>
        <w:jc w:val="both"/>
        <w:rPr>
          <w:rFonts w:ascii="Arial" w:hAnsi="Arial" w:cs="Arial"/>
          <w:bCs/>
          <w:iCs/>
          <w:sz w:val="22"/>
          <w:szCs w:val="22"/>
          <w:u w:val="single"/>
        </w:rPr>
      </w:pPr>
      <w:r>
        <w:rPr>
          <w:rFonts w:ascii="Arial" w:hAnsi="Arial" w:cs="Arial"/>
          <w:bCs/>
          <w:iCs/>
          <w:sz w:val="22"/>
          <w:szCs w:val="22"/>
          <w:u w:val="single"/>
        </w:rPr>
        <w:t>Stanovisko G</w:t>
      </w:r>
      <w:r w:rsidR="00D278F9" w:rsidRPr="00EE1C89">
        <w:rPr>
          <w:rFonts w:ascii="Arial" w:hAnsi="Arial" w:cs="Arial"/>
          <w:bCs/>
          <w:iCs/>
          <w:sz w:val="22"/>
          <w:szCs w:val="22"/>
          <w:u w:val="single"/>
        </w:rPr>
        <w:t>Ř</w:t>
      </w:r>
      <w:r>
        <w:rPr>
          <w:rFonts w:ascii="Arial" w:hAnsi="Arial" w:cs="Arial"/>
          <w:bCs/>
          <w:iCs/>
          <w:sz w:val="22"/>
          <w:szCs w:val="22"/>
          <w:u w:val="single"/>
        </w:rPr>
        <w:t>C</w:t>
      </w:r>
      <w:r w:rsidR="00D278F9" w:rsidRPr="00EE1C89">
        <w:rPr>
          <w:rFonts w:ascii="Arial" w:hAnsi="Arial" w:cs="Arial"/>
          <w:bCs/>
          <w:iCs/>
          <w:sz w:val="22"/>
          <w:szCs w:val="22"/>
          <w:u w:val="single"/>
        </w:rPr>
        <w:t>:</w:t>
      </w: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Ač nepoužívá celní správa jedno IT řešení, respektive jednu aplikac</w:t>
      </w:r>
      <w:r w:rsidR="00293F6A">
        <w:rPr>
          <w:rFonts w:ascii="Arial" w:hAnsi="Arial" w:cs="Arial"/>
          <w:bCs/>
          <w:iCs/>
          <w:sz w:val="22"/>
          <w:szCs w:val="22"/>
        </w:rPr>
        <w:t>i</w:t>
      </w:r>
      <w:r w:rsidRPr="00DD5DD5">
        <w:rPr>
          <w:rFonts w:ascii="Arial" w:hAnsi="Arial" w:cs="Arial"/>
          <w:bCs/>
          <w:iCs/>
          <w:sz w:val="22"/>
          <w:szCs w:val="22"/>
        </w:rPr>
        <w:t xml:space="preserve"> pro všechny činnosti, jako je tomu u finanční správy, jsou všechna data soustřeďována do datového skladu, který</w:t>
      </w:r>
      <w:r w:rsidR="00DD5DD5">
        <w:rPr>
          <w:rFonts w:ascii="Arial" w:hAnsi="Arial" w:cs="Arial"/>
          <w:bCs/>
          <w:iCs/>
          <w:sz w:val="22"/>
          <w:szCs w:val="22"/>
        </w:rPr>
        <w:t> </w:t>
      </w:r>
      <w:r w:rsidRPr="00DD5DD5">
        <w:rPr>
          <w:rFonts w:ascii="Arial" w:hAnsi="Arial" w:cs="Arial"/>
          <w:bCs/>
          <w:iCs/>
          <w:sz w:val="22"/>
          <w:szCs w:val="22"/>
        </w:rPr>
        <w:t>umožňuje efektivní práci s daty. Členění informačního systému celní správy ISCS na jednotlivé aplikace se specifickými funkcemi umožňuje mimo jiné i diverzifikaci dodavatelů a</w:t>
      </w:r>
      <w:r w:rsidR="00DD5DD5">
        <w:rPr>
          <w:rFonts w:ascii="Arial" w:hAnsi="Arial" w:cs="Arial"/>
          <w:bCs/>
          <w:iCs/>
          <w:sz w:val="22"/>
          <w:szCs w:val="22"/>
        </w:rPr>
        <w:t> </w:t>
      </w:r>
      <w:r w:rsidRPr="00DD5DD5">
        <w:rPr>
          <w:rFonts w:ascii="Arial" w:hAnsi="Arial" w:cs="Arial"/>
          <w:bCs/>
          <w:iCs/>
          <w:sz w:val="22"/>
          <w:szCs w:val="22"/>
        </w:rPr>
        <w:t>zvyšuje schopnost reakce na legislativní, kompetenční a další změny (mimo jiné řeší i morální zastarávání softwaru, kdy výměna komplexního systému je vysoce náročná, zatímco výměna specializovaných, funkčně omezených aplikací, jejich doplňování a vývoj je snazší a levnější).</w:t>
      </w: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 xml:space="preserve">Automatické zpracování DAP podaných ve formátu inteligentního formuláře bude plně implementována v aplikaci VSD, která je v současnosti vyvíjena jako náhrada již morálně zastaralé aplikace ME-SPD. VSD bude do zkušebního provozu nasazeno v průběhu roku 2017. </w:t>
      </w:r>
    </w:p>
    <w:p w:rsidR="00E03962" w:rsidRPr="00DD5DD5" w:rsidRDefault="00E03962" w:rsidP="00DD5DD5">
      <w:pPr>
        <w:jc w:val="both"/>
        <w:rPr>
          <w:rFonts w:ascii="Arial" w:hAnsi="Arial" w:cs="Arial"/>
          <w:bCs/>
          <w:iCs/>
          <w:sz w:val="22"/>
          <w:szCs w:val="22"/>
        </w:rPr>
      </w:pP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Potenciál elektronického systému pro vystavování alternativních dokladů snižuje skutečnost, že jeho použití není závazné pro osoby nakládající s lihem.</w:t>
      </w: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 xml:space="preserve">Elektronický systém, pracovně nazývaný Alternativní postupy, byl celní správou vyvinut primárně pro potřeby petrolejářského průmyslu (zejména pro potřeby distributorů PHM), neboť obchodní model v této oblasti je velmi specifický (často dochází k prodeji celých zásilek bez jejich dělení a překládání a rovněž dochází </w:t>
      </w:r>
      <w:r w:rsidR="00E16046">
        <w:rPr>
          <w:rFonts w:ascii="Arial" w:hAnsi="Arial" w:cs="Arial"/>
          <w:bCs/>
          <w:iCs/>
          <w:sz w:val="22"/>
          <w:szCs w:val="22"/>
        </w:rPr>
        <w:t>k</w:t>
      </w:r>
      <w:r w:rsidR="00E16046" w:rsidRPr="00DD5DD5">
        <w:rPr>
          <w:rFonts w:ascii="Arial" w:hAnsi="Arial" w:cs="Arial"/>
          <w:bCs/>
          <w:iCs/>
          <w:sz w:val="22"/>
          <w:szCs w:val="22"/>
        </w:rPr>
        <w:t> </w:t>
      </w:r>
      <w:r w:rsidRPr="00DD5DD5">
        <w:rPr>
          <w:rFonts w:ascii="Arial" w:hAnsi="Arial" w:cs="Arial"/>
          <w:bCs/>
          <w:iCs/>
          <w:sz w:val="22"/>
          <w:szCs w:val="22"/>
        </w:rPr>
        <w:t>postupnému rozprodávání zásilky různým odběratelům – čerpacím stanicím). Alternativní postupy nejsou závazné pro žádnou komoditu, tedy ani pro minerální oleje, kde jsou nejčastěji užívány. Mají za cíl nabídnout subjektům variantu vystavení příslušných dokladů, a tedy dodržení povinností stanovených §</w:t>
      </w:r>
      <w:r w:rsidR="00365C56">
        <w:rPr>
          <w:rFonts w:ascii="Arial" w:hAnsi="Arial" w:cs="Arial"/>
          <w:bCs/>
          <w:iCs/>
          <w:sz w:val="22"/>
          <w:szCs w:val="22"/>
        </w:rPr>
        <w:t> </w:t>
      </w:r>
      <w:r w:rsidRPr="00DD5DD5">
        <w:rPr>
          <w:rFonts w:ascii="Arial" w:hAnsi="Arial" w:cs="Arial"/>
          <w:bCs/>
          <w:iCs/>
          <w:sz w:val="22"/>
          <w:szCs w:val="22"/>
        </w:rPr>
        <w:t xml:space="preserve">5 zákona č. 353/2003 Sb., </w:t>
      </w:r>
      <w:r w:rsidR="00365C56" w:rsidRPr="00365C56">
        <w:rPr>
          <w:rFonts w:ascii="Arial" w:hAnsi="Arial" w:cs="Arial"/>
          <w:bCs/>
          <w:iCs/>
          <w:sz w:val="22"/>
          <w:szCs w:val="22"/>
        </w:rPr>
        <w:t xml:space="preserve">o spotřebních daních </w:t>
      </w:r>
      <w:r w:rsidRPr="00DD5DD5">
        <w:rPr>
          <w:rFonts w:ascii="Arial" w:hAnsi="Arial" w:cs="Arial"/>
          <w:bCs/>
          <w:iCs/>
          <w:sz w:val="22"/>
          <w:szCs w:val="22"/>
        </w:rPr>
        <w:t>která bude akceptovatelná pro celní správu (hledisko dodržení řetězce dokladů zachycujících prodej zboží a kvalita a správnost těchto dokladů) i pro subjekty (možnost zpracovat a odeslat doklad elektronicky a tedy z místa odlišného od místa kde dochází k přechodu vlastnictví; odpadá nutnost doručovat doklad řidiči, který zboží transportuje, neboť doklad je v elektronické podobě na serveru celní správy).</w:t>
      </w: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V případě lihu mohou daňové subjekty rovněž alternativní postupy využívat. Z důvodu, že</w:t>
      </w:r>
      <w:r w:rsidR="00DD5DD5">
        <w:rPr>
          <w:rFonts w:ascii="Arial" w:hAnsi="Arial" w:cs="Arial"/>
          <w:bCs/>
          <w:iCs/>
          <w:sz w:val="22"/>
          <w:szCs w:val="22"/>
        </w:rPr>
        <w:t> </w:t>
      </w:r>
      <w:r w:rsidRPr="00DD5DD5">
        <w:rPr>
          <w:rFonts w:ascii="Arial" w:hAnsi="Arial" w:cs="Arial"/>
          <w:bCs/>
          <w:iCs/>
          <w:sz w:val="22"/>
          <w:szCs w:val="22"/>
        </w:rPr>
        <w:t>obchodní model při uvedení lihovin do volného daňového oběhu s následnou distribucí a</w:t>
      </w:r>
      <w:r w:rsidR="00DD5DD5">
        <w:rPr>
          <w:rFonts w:ascii="Arial" w:hAnsi="Arial" w:cs="Arial"/>
          <w:bCs/>
          <w:iCs/>
          <w:sz w:val="22"/>
          <w:szCs w:val="22"/>
        </w:rPr>
        <w:t> </w:t>
      </w:r>
      <w:r w:rsidRPr="00DD5DD5">
        <w:rPr>
          <w:rFonts w:ascii="Arial" w:hAnsi="Arial" w:cs="Arial"/>
          <w:bCs/>
          <w:iCs/>
          <w:sz w:val="22"/>
          <w:szCs w:val="22"/>
        </w:rPr>
        <w:t>prodejem je zpravidla odlišný od nakládání s minerálními oleji, možnost využívat alternativních postupů daňové subjekty příliš nevyužívají. Připomínáme, že kromě již výše uvedené povinnosti stanovené v § 5 zákona č. 353/2003 Sb., o spotřebních daních, v</w:t>
      </w:r>
      <w:r w:rsidR="00DD5DD5">
        <w:rPr>
          <w:rFonts w:ascii="Arial" w:hAnsi="Arial" w:cs="Arial"/>
          <w:bCs/>
          <w:iCs/>
          <w:sz w:val="22"/>
          <w:szCs w:val="22"/>
        </w:rPr>
        <w:t> </w:t>
      </w:r>
      <w:r w:rsidRPr="00DD5DD5">
        <w:rPr>
          <w:rFonts w:ascii="Arial" w:hAnsi="Arial" w:cs="Arial"/>
          <w:bCs/>
          <w:iCs/>
          <w:sz w:val="22"/>
          <w:szCs w:val="22"/>
        </w:rPr>
        <w:t>platném znění, platí pro distributory lihu zákonná povinnost (§ 43 zákona č. 307/2013 Sb., o povinném značení lihu, v platném znění) zasílat správci daně v den bezprostředně následující po dni, kdy došlo k prodeji nebo jinému převodu lihu detailní informace o objemu a druhu spotřebitelského balení, počtu kontrolních pásek, jimiž byl označen líh prodaný nebo jinak převedený distributorem lihu, objemové procento lihu v těchto spotřebitelských baleních, evropské zbožové kódy (EAN), kterým jsou opatřena spotřebitelská balení a</w:t>
      </w:r>
      <w:r w:rsidR="00DD5DD5">
        <w:rPr>
          <w:rFonts w:ascii="Arial" w:hAnsi="Arial" w:cs="Arial"/>
          <w:bCs/>
          <w:iCs/>
          <w:sz w:val="22"/>
          <w:szCs w:val="22"/>
        </w:rPr>
        <w:t> </w:t>
      </w:r>
      <w:r w:rsidRPr="00DD5DD5">
        <w:rPr>
          <w:rFonts w:ascii="Arial" w:hAnsi="Arial" w:cs="Arial"/>
          <w:bCs/>
          <w:iCs/>
          <w:sz w:val="22"/>
          <w:szCs w:val="22"/>
        </w:rPr>
        <w:t>identifikaci osoby, které byl líh prodaný nebo jinak převedený distributorem lihu podle písmene prodán nebo jinak převeden. Z tohoto pohledu nelze přisvědčit obecnému názoru NKÚ o snižování potenciálu alternativních postupů, neboť v problematice kontroly nakládání s lihem (lihovinami) je kontrola a informace o nakládání s lihem dostatečná a v případě stanovování dalších povinností by se jednalo o dublování již známých skutečností se zbytečnou administrativní zátěží podnikatelské veřejnosti, což je v rozporu se středně a</w:t>
      </w:r>
      <w:r w:rsidR="00DD5DD5">
        <w:rPr>
          <w:rFonts w:ascii="Arial" w:hAnsi="Arial" w:cs="Arial"/>
          <w:bCs/>
          <w:iCs/>
          <w:sz w:val="22"/>
          <w:szCs w:val="22"/>
        </w:rPr>
        <w:t> </w:t>
      </w:r>
      <w:r w:rsidRPr="00DD5DD5">
        <w:rPr>
          <w:rFonts w:ascii="Arial" w:hAnsi="Arial" w:cs="Arial"/>
          <w:bCs/>
          <w:iCs/>
          <w:sz w:val="22"/>
          <w:szCs w:val="22"/>
        </w:rPr>
        <w:t>dlouhodobým cílem vlády směřujícím ke snižování administrativní zátěže.</w:t>
      </w: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CS ČR je na automatizovanou výměnu dat v zásadě připravena, avšak dle dostupných informací tomu brání několik faktorů. Zajištění plné elektronizace sdílení dat je v současné době neproveditelné, neboť v některých případech tomu brání technické obtíže (FS ČR doposud nemá dobudován datový slad, který by umožnil centralizaci dat a jejich snadnou a</w:t>
      </w:r>
      <w:r w:rsidR="00DD5DD5">
        <w:rPr>
          <w:rFonts w:ascii="Arial" w:hAnsi="Arial" w:cs="Arial"/>
          <w:bCs/>
          <w:iCs/>
          <w:sz w:val="22"/>
          <w:szCs w:val="22"/>
        </w:rPr>
        <w:t> </w:t>
      </w:r>
      <w:r w:rsidRPr="00DD5DD5">
        <w:rPr>
          <w:rFonts w:ascii="Arial" w:hAnsi="Arial" w:cs="Arial"/>
          <w:bCs/>
          <w:iCs/>
          <w:sz w:val="22"/>
          <w:szCs w:val="22"/>
        </w:rPr>
        <w:t xml:space="preserve">rychlou výměnu), v některých případech nemá CS ČR ani kompetenci (absence zákonného zmocnění) na základě níž by mohla od příslušného státního orgánu či jiného subjektu automatizované sdílení dat požadovat (typicky ČSSZ ve věci bezdlužnosti na sociálním pojištění a zdravotní pojišťovny ve věci bezdlužnosti na zdravotním pojištění). V jiných případech by nebylo ani třeba automatizované výměny (např. účetní závěrky povinně zveřejňované ve Sbírce listin Obchodního rejstříku), avšak možnosti využít veřejně přístupná data brání časový nesoulad mezi okamžikem jejich potřeby a okamžikem jejich zveřejnění (u listin v OR se jedná o měsíce až roky). </w:t>
      </w:r>
      <w:r w:rsidRPr="004656D1">
        <w:rPr>
          <w:rFonts w:ascii="Arial" w:hAnsi="Arial" w:cs="Arial"/>
          <w:bCs/>
          <w:iCs/>
          <w:sz w:val="22"/>
          <w:szCs w:val="22"/>
        </w:rPr>
        <w:t>Dle v současné době dostupných informací je připravována jistá mezirezortní datová základna, avšak její vznik je otázkou let a</w:t>
      </w:r>
      <w:r w:rsidR="00DD5DD5" w:rsidRPr="004656D1">
        <w:rPr>
          <w:rFonts w:ascii="Arial" w:hAnsi="Arial" w:cs="Arial"/>
          <w:bCs/>
          <w:iCs/>
          <w:sz w:val="22"/>
          <w:szCs w:val="22"/>
        </w:rPr>
        <w:t> </w:t>
      </w:r>
      <w:r w:rsidRPr="004656D1">
        <w:rPr>
          <w:rFonts w:ascii="Arial" w:hAnsi="Arial" w:cs="Arial"/>
          <w:bCs/>
          <w:iCs/>
          <w:sz w:val="22"/>
          <w:szCs w:val="22"/>
        </w:rPr>
        <w:t>v žádném případě není v dispozici MF natož CS ČR.</w:t>
      </w: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Alternativní postupy jsou jakýmsi předstupněm projektu elektronizace volného daňového oběhu (pracovní název eVDO), který má za cíl v první fázi elektronizovat přepravu vybraných výrobků mezi členskými státy EU (a s tím spojenou další administrativu a povinnosti) a</w:t>
      </w:r>
      <w:r w:rsidR="00DD5DD5">
        <w:rPr>
          <w:rFonts w:ascii="Arial" w:hAnsi="Arial" w:cs="Arial"/>
          <w:bCs/>
          <w:iCs/>
          <w:sz w:val="22"/>
          <w:szCs w:val="22"/>
        </w:rPr>
        <w:t> </w:t>
      </w:r>
      <w:r w:rsidRPr="00DD5DD5">
        <w:rPr>
          <w:rFonts w:ascii="Arial" w:hAnsi="Arial" w:cs="Arial"/>
          <w:bCs/>
          <w:iCs/>
          <w:sz w:val="22"/>
          <w:szCs w:val="22"/>
        </w:rPr>
        <w:t>v druhé fázi i vnitrostátní pohyby vybraných výrobků.</w:t>
      </w:r>
    </w:p>
    <w:p w:rsidR="00E03962" w:rsidRPr="00DD5DD5" w:rsidRDefault="00E03962" w:rsidP="00DD5DD5">
      <w:pPr>
        <w:jc w:val="both"/>
        <w:rPr>
          <w:rFonts w:ascii="Arial" w:hAnsi="Arial" w:cs="Arial"/>
          <w:bCs/>
          <w:iCs/>
          <w:sz w:val="22"/>
          <w:szCs w:val="22"/>
        </w:rPr>
      </w:pPr>
    </w:p>
    <w:p w:rsidR="00E03962" w:rsidRPr="00DD5DD5" w:rsidRDefault="00E03962" w:rsidP="00DD5DD5">
      <w:pPr>
        <w:jc w:val="both"/>
        <w:rPr>
          <w:rFonts w:ascii="Arial" w:hAnsi="Arial" w:cs="Arial"/>
          <w:bCs/>
          <w:iCs/>
          <w:sz w:val="22"/>
          <w:szCs w:val="22"/>
        </w:rPr>
      </w:pPr>
      <w:r w:rsidRPr="00DD5DD5">
        <w:rPr>
          <w:rFonts w:ascii="Arial" w:hAnsi="Arial" w:cs="Arial"/>
          <w:bCs/>
          <w:iCs/>
          <w:sz w:val="22"/>
          <w:szCs w:val="22"/>
        </w:rPr>
        <w:t>Cíl omezovat daňové úniky je v oblasti SPED naplňován zejména zaváděním nových legislativních opatření a novými postupy CS ČR. Snižování popsaných rizik je ekonomicky značně náročné, avšak pro účinnost systému správy SPED a naplnění cíle správy daně nezbytné.</w:t>
      </w:r>
    </w:p>
    <w:p w:rsidR="00B722D5" w:rsidRPr="00DD5DD5" w:rsidRDefault="00E03962" w:rsidP="00E03962">
      <w:pPr>
        <w:jc w:val="both"/>
        <w:rPr>
          <w:rFonts w:ascii="Arial" w:hAnsi="Arial" w:cs="Arial"/>
          <w:bCs/>
          <w:iCs/>
          <w:sz w:val="22"/>
          <w:szCs w:val="22"/>
        </w:rPr>
      </w:pPr>
      <w:r w:rsidRPr="00DD5DD5">
        <w:rPr>
          <w:rFonts w:ascii="Arial" w:hAnsi="Arial" w:cs="Arial"/>
          <w:bCs/>
          <w:iCs/>
          <w:sz w:val="22"/>
          <w:szCs w:val="22"/>
        </w:rPr>
        <w:t>Souhlasíme s tvrzením NKÚ, že rizikem obcházení daňových předpisů jsou místa, kde dochází k míchání pohonných hmot, jejich skladování a následnému výdeji z tzv. provozních nádrží, které nejsou evidovány. CS ČR nezbývá než taková místa vyhledávat, avšak kontrola legálnosti nabytí skladovaných pohonných hmot, jejich původu a zdanění je problematická a</w:t>
      </w:r>
      <w:r w:rsidR="00DD5DD5">
        <w:rPr>
          <w:rFonts w:ascii="Arial" w:hAnsi="Arial" w:cs="Arial"/>
          <w:bCs/>
          <w:iCs/>
          <w:sz w:val="22"/>
          <w:szCs w:val="22"/>
        </w:rPr>
        <w:t> </w:t>
      </w:r>
      <w:r w:rsidRPr="00DD5DD5">
        <w:rPr>
          <w:rFonts w:ascii="Arial" w:hAnsi="Arial" w:cs="Arial"/>
          <w:bCs/>
          <w:iCs/>
          <w:sz w:val="22"/>
          <w:szCs w:val="22"/>
        </w:rPr>
        <w:t xml:space="preserve">personálně náročná činnost. Mimo provozních nádrží (tj. čerpacích stanic určených pouze pro potřeby jejich provozovatele) však existují i další prostory, které jsou jen složitě podchytitelné legislativně, a to např. bývalé armádní budovy, odstavené výtopny, veškeré nádrže původně určené ke skladování jiných kapalin než PHM, a další objekty, které jsou vybaveny technologií použitelnou pro skladování PHM. Tyto objekty jsou celní správou aktivně vyhledávány a s jejich rizikovostí je pracováno. Dosažení ideálního stavu, kdy by byly všechny objekty a technologie využitelné ke skladování PHM evidovány a používány pouze se souhlasem státních orgánů je v zásadě nemožné. Zavedení evidence provozních nádrží by tedy zvýšilo efektivitu správy, neodstranilo by ovšem veškerá potenciální rizika. Problematiku tzv. provozních nádrží v současné době řeší Ministerstvo průmyslu a obchodu, které je ve věci gesčně příslušné. </w:t>
      </w:r>
      <w:r w:rsidRPr="004656D1">
        <w:rPr>
          <w:rFonts w:ascii="Arial" w:hAnsi="Arial" w:cs="Arial"/>
          <w:bCs/>
          <w:iCs/>
          <w:sz w:val="22"/>
          <w:szCs w:val="22"/>
        </w:rPr>
        <w:t>Dle informací, které má CS k dispozici, je zvažováno evidenční (ohlašovací) povinnost stanovit i provozovatelům těchto provozních nádrží.</w:t>
      </w:r>
    </w:p>
    <w:p w:rsidR="00E03962" w:rsidRPr="00D278F9" w:rsidRDefault="00E03962" w:rsidP="00E03962">
      <w:pPr>
        <w:jc w:val="both"/>
        <w:rPr>
          <w:rFonts w:ascii="Arial" w:hAnsi="Arial" w:cs="Arial"/>
          <w:sz w:val="22"/>
          <w:szCs w:val="22"/>
        </w:rPr>
      </w:pPr>
    </w:p>
    <w:p w:rsidR="00D278F9" w:rsidRDefault="00D278F9" w:rsidP="00D278F9">
      <w:pPr>
        <w:jc w:val="both"/>
        <w:rPr>
          <w:rFonts w:ascii="Arial" w:hAnsi="Arial" w:cs="Arial"/>
          <w:bCs/>
          <w:iCs/>
          <w:sz w:val="22"/>
          <w:szCs w:val="22"/>
          <w:u w:val="single"/>
        </w:rPr>
      </w:pPr>
      <w:r w:rsidRPr="00D278F9">
        <w:rPr>
          <w:rFonts w:ascii="Arial" w:hAnsi="Arial" w:cs="Arial"/>
          <w:bCs/>
          <w:iCs/>
          <w:sz w:val="22"/>
          <w:szCs w:val="22"/>
          <w:u w:val="single"/>
        </w:rPr>
        <w:t xml:space="preserve">Opatření </w:t>
      </w:r>
      <w:r w:rsidR="006E3C49" w:rsidRPr="006E3C49">
        <w:rPr>
          <w:rFonts w:ascii="Arial" w:hAnsi="Arial" w:cs="Arial"/>
          <w:bCs/>
          <w:iCs/>
          <w:sz w:val="22"/>
          <w:szCs w:val="22"/>
          <w:u w:val="single"/>
        </w:rPr>
        <w:t>GŘC</w:t>
      </w:r>
      <w:r w:rsidRPr="00D278F9">
        <w:rPr>
          <w:rFonts w:ascii="Arial" w:hAnsi="Arial" w:cs="Arial"/>
          <w:bCs/>
          <w:iCs/>
          <w:sz w:val="22"/>
          <w:szCs w:val="22"/>
          <w:u w:val="single"/>
        </w:rPr>
        <w:t>:</w:t>
      </w:r>
    </w:p>
    <w:p w:rsidR="002C6333" w:rsidRPr="002C6333" w:rsidRDefault="002C6333" w:rsidP="002C6333">
      <w:pPr>
        <w:jc w:val="both"/>
        <w:rPr>
          <w:rFonts w:ascii="Arial" w:hAnsi="Arial" w:cs="Arial"/>
          <w:bCs/>
          <w:iCs/>
          <w:sz w:val="22"/>
          <w:szCs w:val="22"/>
        </w:rPr>
      </w:pPr>
      <w:r w:rsidRPr="002C6333">
        <w:rPr>
          <w:rFonts w:ascii="Arial" w:hAnsi="Arial" w:cs="Arial"/>
          <w:bCs/>
          <w:iCs/>
          <w:sz w:val="22"/>
          <w:szCs w:val="22"/>
        </w:rPr>
        <w:t>Vzhledem ke stanovisku GŘC opatření nepřijímá.</w:t>
      </w:r>
    </w:p>
    <w:p w:rsidR="00B722D5" w:rsidRPr="00B722D5" w:rsidRDefault="00B722D5" w:rsidP="00B722D5">
      <w:pPr>
        <w:jc w:val="both"/>
        <w:rPr>
          <w:rFonts w:ascii="Arial" w:hAnsi="Arial" w:cs="Arial"/>
          <w:bCs/>
          <w:sz w:val="22"/>
          <w:szCs w:val="22"/>
        </w:rPr>
      </w:pPr>
      <w:r w:rsidRPr="00B722D5">
        <w:rPr>
          <w:rFonts w:ascii="Arial" w:hAnsi="Arial" w:cs="Arial"/>
          <w:bCs/>
          <w:sz w:val="22"/>
          <w:szCs w:val="22"/>
        </w:rPr>
        <w:t xml:space="preserve">Nález NKÚ nepovažujeme za nedostatek, nýbrž za konstatování stavu, který není v rozporu s právními předpisy či jinými povinnostmi celní správy, jako takové nepovažujeme za nutné přijímat opatření. </w:t>
      </w:r>
    </w:p>
    <w:p w:rsidR="00B722D5" w:rsidRPr="00B722D5" w:rsidRDefault="00B722D5" w:rsidP="00B722D5">
      <w:pPr>
        <w:jc w:val="both"/>
        <w:rPr>
          <w:rFonts w:ascii="Arial" w:hAnsi="Arial" w:cs="Arial"/>
          <w:bCs/>
          <w:sz w:val="22"/>
          <w:szCs w:val="22"/>
        </w:rPr>
      </w:pPr>
      <w:r w:rsidRPr="00B722D5">
        <w:rPr>
          <w:rFonts w:ascii="Arial" w:hAnsi="Arial" w:cs="Arial"/>
          <w:bCs/>
          <w:sz w:val="22"/>
          <w:szCs w:val="22"/>
        </w:rPr>
        <w:t xml:space="preserve">Ostatně NKÚ konstatuje, že některé IT aplikace jsou vysoce nad rámec požadavků EU. </w:t>
      </w:r>
    </w:p>
    <w:p w:rsidR="00B722D5" w:rsidRPr="00B722D5" w:rsidRDefault="00B722D5" w:rsidP="00B722D5">
      <w:pPr>
        <w:jc w:val="both"/>
        <w:rPr>
          <w:rFonts w:ascii="Arial" w:hAnsi="Arial" w:cs="Arial"/>
          <w:bCs/>
          <w:sz w:val="22"/>
          <w:szCs w:val="22"/>
        </w:rPr>
      </w:pPr>
      <w:r w:rsidRPr="00B722D5">
        <w:rPr>
          <w:rFonts w:ascii="Arial" w:hAnsi="Arial" w:cs="Arial"/>
          <w:bCs/>
          <w:sz w:val="22"/>
          <w:szCs w:val="22"/>
        </w:rPr>
        <w:t>Některá zjištění budou v brzké době již neplatná, neboť vývoj v oblasti IT stále probíhá.</w:t>
      </w:r>
    </w:p>
    <w:p w:rsidR="00D278F9" w:rsidRPr="00D278F9" w:rsidRDefault="00D278F9" w:rsidP="00D278F9">
      <w:pPr>
        <w:jc w:val="both"/>
        <w:rPr>
          <w:rFonts w:ascii="Arial" w:hAnsi="Arial" w:cs="Arial"/>
          <w:bCs/>
          <w:iCs/>
          <w:sz w:val="22"/>
          <w:szCs w:val="22"/>
        </w:rPr>
      </w:pPr>
    </w:p>
    <w:p w:rsidR="004E53D9" w:rsidRDefault="004E53D9" w:rsidP="00D278F9">
      <w:pPr>
        <w:jc w:val="both"/>
        <w:rPr>
          <w:rFonts w:ascii="Arial" w:hAnsi="Arial" w:cs="Arial"/>
          <w:bCs/>
          <w:iCs/>
          <w:sz w:val="22"/>
          <w:szCs w:val="22"/>
        </w:rPr>
      </w:pPr>
    </w:p>
    <w:p w:rsidR="006E3C49" w:rsidRDefault="006E3C49" w:rsidP="006E3C49">
      <w:pPr>
        <w:jc w:val="both"/>
        <w:rPr>
          <w:rFonts w:ascii="Arial" w:hAnsi="Arial" w:cs="Arial"/>
          <w:b/>
          <w:bCs/>
          <w:sz w:val="22"/>
          <w:szCs w:val="22"/>
        </w:rPr>
      </w:pPr>
      <w:r w:rsidRPr="006E3C49">
        <w:rPr>
          <w:rFonts w:ascii="Arial" w:hAnsi="Arial" w:cs="Arial"/>
          <w:b/>
          <w:bCs/>
          <w:sz w:val="22"/>
          <w:szCs w:val="22"/>
        </w:rPr>
        <w:t xml:space="preserve">5. Závěrečný účet kapitoly 312 – </w:t>
      </w:r>
      <w:r w:rsidRPr="006E3C49">
        <w:rPr>
          <w:rFonts w:ascii="Arial" w:hAnsi="Arial" w:cs="Arial"/>
          <w:b/>
          <w:bCs/>
          <w:i/>
          <w:iCs/>
          <w:sz w:val="22"/>
          <w:szCs w:val="22"/>
        </w:rPr>
        <w:t xml:space="preserve">Ministerstvo financí </w:t>
      </w:r>
      <w:r w:rsidRPr="006E3C49">
        <w:rPr>
          <w:rFonts w:ascii="Arial" w:hAnsi="Arial" w:cs="Arial"/>
          <w:b/>
          <w:bCs/>
          <w:sz w:val="22"/>
          <w:szCs w:val="22"/>
        </w:rPr>
        <w:t xml:space="preserve">a zpráva o činnosti FS ČR a CS </w:t>
      </w:r>
    </w:p>
    <w:p w:rsidR="006E3C49" w:rsidRPr="006E3C49" w:rsidRDefault="006E3C49" w:rsidP="006E3C49">
      <w:pPr>
        <w:jc w:val="both"/>
        <w:rPr>
          <w:rFonts w:ascii="Arial" w:hAnsi="Arial" w:cs="Arial"/>
          <w:b/>
          <w:bCs/>
          <w:sz w:val="22"/>
          <w:szCs w:val="22"/>
        </w:rPr>
      </w:pPr>
      <w:r>
        <w:rPr>
          <w:rFonts w:ascii="Arial" w:hAnsi="Arial" w:cs="Arial"/>
          <w:b/>
          <w:bCs/>
          <w:sz w:val="22"/>
          <w:szCs w:val="22"/>
        </w:rPr>
        <w:t xml:space="preserve">    </w:t>
      </w:r>
      <w:r w:rsidRPr="006E3C49">
        <w:rPr>
          <w:rFonts w:ascii="Arial" w:hAnsi="Arial" w:cs="Arial"/>
          <w:b/>
          <w:bCs/>
          <w:sz w:val="22"/>
          <w:szCs w:val="22"/>
        </w:rPr>
        <w:t>ČR</w:t>
      </w:r>
    </w:p>
    <w:p w:rsidR="006E3C49" w:rsidRPr="006E3C49" w:rsidRDefault="006E3C49" w:rsidP="006E3C49">
      <w:pPr>
        <w:rPr>
          <w:rFonts w:ascii="Arial" w:hAnsi="Arial" w:cs="Arial"/>
          <w:bCs/>
          <w:sz w:val="22"/>
          <w:szCs w:val="22"/>
        </w:rPr>
      </w:pPr>
      <w:r>
        <w:rPr>
          <w:rFonts w:ascii="Arial" w:hAnsi="Arial" w:cs="Arial"/>
          <w:bCs/>
          <w:sz w:val="22"/>
          <w:szCs w:val="22"/>
        </w:rPr>
        <w:t xml:space="preserve">   </w:t>
      </w:r>
      <w:r w:rsidRPr="006E3C49">
        <w:rPr>
          <w:rFonts w:ascii="Arial" w:hAnsi="Arial" w:cs="Arial"/>
          <w:bCs/>
          <w:sz w:val="22"/>
          <w:szCs w:val="22"/>
        </w:rPr>
        <w:t>(str. 12 Kontrolního závěru)</w:t>
      </w:r>
    </w:p>
    <w:p w:rsidR="006E3C49" w:rsidRDefault="006E3C49" w:rsidP="00D278F9">
      <w:pPr>
        <w:jc w:val="both"/>
        <w:rPr>
          <w:rFonts w:ascii="Arial" w:hAnsi="Arial" w:cs="Arial"/>
          <w:bCs/>
          <w:iCs/>
          <w:sz w:val="22"/>
          <w:szCs w:val="22"/>
        </w:rPr>
      </w:pPr>
    </w:p>
    <w:p w:rsidR="006E3C49" w:rsidRPr="006E3C49" w:rsidRDefault="006E3C49" w:rsidP="006E3C49">
      <w:pPr>
        <w:jc w:val="both"/>
        <w:rPr>
          <w:rFonts w:ascii="Arial" w:hAnsi="Arial" w:cs="Arial"/>
          <w:bCs/>
          <w:i/>
          <w:iCs/>
          <w:sz w:val="22"/>
          <w:szCs w:val="22"/>
          <w:u w:val="single"/>
        </w:rPr>
      </w:pPr>
      <w:r w:rsidRPr="006E3C49">
        <w:rPr>
          <w:rFonts w:ascii="Arial" w:hAnsi="Arial" w:cs="Arial"/>
          <w:bCs/>
          <w:i/>
          <w:iCs/>
          <w:sz w:val="22"/>
          <w:szCs w:val="22"/>
          <w:u w:val="single"/>
        </w:rPr>
        <w:t>Zjištění NKÚ:</w:t>
      </w:r>
    </w:p>
    <w:p w:rsidR="006E3C49" w:rsidRPr="006E3C49" w:rsidRDefault="006E3C49" w:rsidP="006E3C49">
      <w:pPr>
        <w:jc w:val="both"/>
        <w:rPr>
          <w:rFonts w:ascii="Arial" w:hAnsi="Arial" w:cs="Arial"/>
          <w:bCs/>
          <w:i/>
          <w:sz w:val="22"/>
          <w:szCs w:val="22"/>
        </w:rPr>
      </w:pPr>
      <w:r>
        <w:rPr>
          <w:rFonts w:ascii="Arial" w:hAnsi="Arial" w:cs="Arial"/>
          <w:bCs/>
          <w:i/>
          <w:sz w:val="22"/>
          <w:szCs w:val="22"/>
        </w:rPr>
        <w:t>„</w:t>
      </w:r>
      <w:r w:rsidRPr="006E3C49">
        <w:rPr>
          <w:rFonts w:ascii="Arial" w:hAnsi="Arial" w:cs="Arial"/>
          <w:bCs/>
          <w:i/>
          <w:sz w:val="22"/>
          <w:szCs w:val="22"/>
        </w:rPr>
        <w:t>V ZÚ MF za rok 2014, který je součástí státního závěrečného účtu, a rovněž ve Zprávě o</w:t>
      </w:r>
      <w:r w:rsidR="002C6333">
        <w:rPr>
          <w:rFonts w:ascii="Arial" w:hAnsi="Arial" w:cs="Arial"/>
          <w:bCs/>
          <w:i/>
          <w:sz w:val="22"/>
          <w:szCs w:val="22"/>
        </w:rPr>
        <w:t> </w:t>
      </w:r>
      <w:r w:rsidRPr="006E3C49">
        <w:rPr>
          <w:rFonts w:ascii="Arial" w:hAnsi="Arial" w:cs="Arial"/>
          <w:bCs/>
          <w:i/>
          <w:sz w:val="22"/>
          <w:szCs w:val="22"/>
        </w:rPr>
        <w:t>činnosti Finanční správy ČR a Celní správy ČR za rok 2014 jsou uvedeny informace o</w:t>
      </w:r>
      <w:r w:rsidR="002C6333">
        <w:rPr>
          <w:rFonts w:ascii="Arial" w:hAnsi="Arial" w:cs="Arial"/>
          <w:bCs/>
          <w:i/>
          <w:sz w:val="22"/>
          <w:szCs w:val="22"/>
        </w:rPr>
        <w:t> </w:t>
      </w:r>
      <w:r w:rsidRPr="006E3C49">
        <w:rPr>
          <w:rFonts w:ascii="Arial" w:hAnsi="Arial" w:cs="Arial"/>
          <w:bCs/>
          <w:i/>
          <w:sz w:val="22"/>
          <w:szCs w:val="22"/>
        </w:rPr>
        <w:t>nákladovosti a efektivnosti administrativních nákladů daňové správy a personálním zatížení jednotlivých agend. Výdaje a počty zaměstnanců neodpovídají skutečnostem zjištěným NKÚ. Např. v příloze č. 5c ZÚ MF je uvedena efektivnost a nákladovost GŘC ve</w:t>
      </w:r>
      <w:r w:rsidR="002C6333">
        <w:rPr>
          <w:rFonts w:ascii="Arial" w:hAnsi="Arial" w:cs="Arial"/>
          <w:bCs/>
          <w:i/>
          <w:sz w:val="22"/>
          <w:szCs w:val="22"/>
        </w:rPr>
        <w:t> </w:t>
      </w:r>
      <w:r w:rsidRPr="006E3C49">
        <w:rPr>
          <w:rFonts w:ascii="Arial" w:hAnsi="Arial" w:cs="Arial"/>
          <w:bCs/>
          <w:i/>
          <w:sz w:val="22"/>
          <w:szCs w:val="22"/>
        </w:rPr>
        <w:t xml:space="preserve">vztahu k celkovým daňovým příjmům CS ČR. NKÚ zjistil, že vykázané hodnoty efektivnosti a nákladovosti byly vypočítány i z nákladů na činnosti nedaňové (nefiskální) a že skutečná nákladovost a efektivnost daňové správy vykonávané CS ČR je oproti údajům v ZÚ MF čtvrtinová.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ZÚ MF také mj. konstatuje: „V souladu s vládní prioritou snížit počet a složitost úředních úkonů zatěžujících občana byl dokončen projekt Komplexní zavedení procesního řízení a</w:t>
      </w:r>
      <w:r w:rsidR="002C6333">
        <w:rPr>
          <w:rFonts w:ascii="Arial" w:hAnsi="Arial" w:cs="Arial"/>
          <w:bCs/>
          <w:i/>
          <w:sz w:val="22"/>
          <w:szCs w:val="22"/>
        </w:rPr>
        <w:t> </w:t>
      </w:r>
      <w:r w:rsidRPr="006E3C49">
        <w:rPr>
          <w:rFonts w:ascii="Arial" w:hAnsi="Arial" w:cs="Arial"/>
          <w:bCs/>
          <w:i/>
          <w:sz w:val="22"/>
          <w:szCs w:val="22"/>
        </w:rPr>
        <w:t xml:space="preserve">procesní optimalizace v Celní správě ČR“. NKÚ zjistil, že projekt po svém ukončení prioritu vlády nenaplňuje, neboť procesní a strategické řízení v CS ČR nesnížilo počet ani složitost úředních úkonů. </w:t>
      </w:r>
    </w:p>
    <w:p w:rsidR="006E3C49" w:rsidRPr="006E3C49" w:rsidRDefault="006E3C49" w:rsidP="006E3C49">
      <w:pPr>
        <w:jc w:val="both"/>
        <w:rPr>
          <w:rFonts w:ascii="Arial" w:hAnsi="Arial" w:cs="Arial"/>
          <w:bCs/>
          <w:i/>
          <w:sz w:val="22"/>
          <w:szCs w:val="22"/>
        </w:rPr>
      </w:pPr>
      <w:r w:rsidRPr="00CC2666">
        <w:rPr>
          <w:rFonts w:ascii="Arial" w:hAnsi="Arial" w:cs="Arial"/>
          <w:b/>
          <w:bCs/>
          <w:i/>
          <w:sz w:val="22"/>
          <w:szCs w:val="22"/>
        </w:rPr>
        <w:t>Popsané nepřesnosti snižují vypovídací hodnotu informací uváděných a</w:t>
      </w:r>
      <w:r w:rsidR="002C6333">
        <w:rPr>
          <w:rFonts w:ascii="Arial" w:hAnsi="Arial" w:cs="Arial"/>
          <w:b/>
          <w:bCs/>
          <w:i/>
          <w:sz w:val="22"/>
          <w:szCs w:val="22"/>
        </w:rPr>
        <w:t> </w:t>
      </w:r>
      <w:r w:rsidRPr="00CC2666">
        <w:rPr>
          <w:rFonts w:ascii="Arial" w:hAnsi="Arial" w:cs="Arial"/>
          <w:b/>
          <w:bCs/>
          <w:i/>
          <w:sz w:val="22"/>
          <w:szCs w:val="22"/>
        </w:rPr>
        <w:t>zveřejňovaných ve významných materiálech o výkonnosti CS ČR</w:t>
      </w:r>
      <w:r w:rsidRPr="006E3C49">
        <w:rPr>
          <w:rFonts w:ascii="Arial" w:hAnsi="Arial" w:cs="Arial"/>
          <w:bCs/>
          <w:i/>
          <w:sz w:val="22"/>
          <w:szCs w:val="22"/>
        </w:rPr>
        <w:t>.</w:t>
      </w:r>
      <w:r>
        <w:rPr>
          <w:rFonts w:ascii="Arial" w:hAnsi="Arial" w:cs="Arial"/>
          <w:bCs/>
          <w:i/>
          <w:sz w:val="22"/>
          <w:szCs w:val="22"/>
        </w:rPr>
        <w:t>“</w:t>
      </w:r>
    </w:p>
    <w:p w:rsidR="006E3C49" w:rsidRDefault="006E3C49" w:rsidP="00D278F9">
      <w:pPr>
        <w:jc w:val="both"/>
        <w:rPr>
          <w:rFonts w:ascii="Arial" w:hAnsi="Arial" w:cs="Arial"/>
          <w:bCs/>
          <w:iCs/>
          <w:sz w:val="22"/>
          <w:szCs w:val="22"/>
        </w:rPr>
      </w:pPr>
    </w:p>
    <w:p w:rsidR="009B7DC3" w:rsidRPr="009343B9" w:rsidRDefault="009B7DC3" w:rsidP="009B7DC3">
      <w:pPr>
        <w:jc w:val="both"/>
        <w:rPr>
          <w:rFonts w:ascii="Arial" w:hAnsi="Arial" w:cs="Arial"/>
          <w:bCs/>
          <w:iCs/>
          <w:sz w:val="22"/>
          <w:szCs w:val="22"/>
          <w:u w:val="single"/>
        </w:rPr>
      </w:pPr>
      <w:r w:rsidRPr="009343B9">
        <w:rPr>
          <w:rFonts w:ascii="Arial" w:hAnsi="Arial" w:cs="Arial"/>
          <w:bCs/>
          <w:iCs/>
          <w:sz w:val="22"/>
          <w:szCs w:val="22"/>
          <w:u w:val="single"/>
        </w:rPr>
        <w:t>Stanovisko</w:t>
      </w:r>
      <w:r w:rsidR="00D10429">
        <w:rPr>
          <w:rFonts w:ascii="Arial" w:hAnsi="Arial" w:cs="Arial"/>
          <w:bCs/>
          <w:iCs/>
          <w:sz w:val="22"/>
          <w:szCs w:val="22"/>
          <w:u w:val="single"/>
        </w:rPr>
        <w:t xml:space="preserve"> MF a GŘC</w:t>
      </w:r>
      <w:r w:rsidRPr="009343B9">
        <w:rPr>
          <w:rFonts w:ascii="Arial" w:hAnsi="Arial" w:cs="Arial"/>
          <w:bCs/>
          <w:iCs/>
          <w:sz w:val="22"/>
          <w:szCs w:val="22"/>
          <w:u w:val="single"/>
        </w:rPr>
        <w:t xml:space="preserve"> </w:t>
      </w:r>
    </w:p>
    <w:p w:rsidR="00D10429" w:rsidRPr="00D10429" w:rsidRDefault="00D10429" w:rsidP="00D10429">
      <w:pPr>
        <w:jc w:val="both"/>
        <w:rPr>
          <w:rFonts w:ascii="Arial" w:hAnsi="Arial" w:cs="Arial"/>
          <w:bCs/>
          <w:iCs/>
          <w:sz w:val="22"/>
          <w:szCs w:val="22"/>
        </w:rPr>
      </w:pPr>
      <w:r w:rsidRPr="00D10429">
        <w:rPr>
          <w:rFonts w:ascii="Arial" w:hAnsi="Arial" w:cs="Arial"/>
          <w:bCs/>
          <w:iCs/>
          <w:sz w:val="22"/>
          <w:szCs w:val="22"/>
        </w:rPr>
        <w:t>Výdaje a počty zaměstnanců uvedené v Závěrečném účtu kapitoly 312 – MF odpovídají výdajům vykázaným v IISSP k 31. 12. 2014 a výkazu o zaměstnanosti regulované vládou (ZAM 1-04 U).</w:t>
      </w:r>
    </w:p>
    <w:p w:rsidR="00D10429" w:rsidRPr="00D10429" w:rsidRDefault="00D10429" w:rsidP="00D10429">
      <w:pPr>
        <w:jc w:val="both"/>
        <w:rPr>
          <w:rFonts w:ascii="Arial" w:hAnsi="Arial" w:cs="Arial"/>
          <w:bCs/>
          <w:iCs/>
          <w:sz w:val="22"/>
          <w:szCs w:val="22"/>
        </w:rPr>
      </w:pPr>
      <w:r w:rsidRPr="00D10429">
        <w:rPr>
          <w:rFonts w:ascii="Arial" w:hAnsi="Arial" w:cs="Arial"/>
          <w:bCs/>
          <w:iCs/>
          <w:sz w:val="22"/>
          <w:szCs w:val="22"/>
        </w:rPr>
        <w:t>Příloha č. 5 Závěrečného účtu kapitoly je zpracována dle bodu 8 Části první, hlavy II, Dílu 1 vyhlášky č. 356/2015, kterou se mění vyhláška č. 419/2001 Sb., o rozsahu, struktuře a</w:t>
      </w:r>
      <w:r>
        <w:rPr>
          <w:rFonts w:ascii="Arial" w:hAnsi="Arial" w:cs="Arial"/>
          <w:bCs/>
          <w:iCs/>
          <w:sz w:val="22"/>
          <w:szCs w:val="22"/>
        </w:rPr>
        <w:t> </w:t>
      </w:r>
      <w:r w:rsidRPr="00D10429">
        <w:rPr>
          <w:rFonts w:ascii="Arial" w:hAnsi="Arial" w:cs="Arial"/>
          <w:bCs/>
          <w:iCs/>
          <w:sz w:val="22"/>
          <w:szCs w:val="22"/>
        </w:rPr>
        <w:t>termínech údajů předkládaných pro vypracování státního závěrečného účtu a o rozsahu a</w:t>
      </w:r>
      <w:r>
        <w:rPr>
          <w:rFonts w:ascii="Arial" w:hAnsi="Arial" w:cs="Arial"/>
          <w:bCs/>
          <w:iCs/>
          <w:sz w:val="22"/>
          <w:szCs w:val="22"/>
        </w:rPr>
        <w:t> </w:t>
      </w:r>
      <w:r w:rsidRPr="00D10429">
        <w:rPr>
          <w:rFonts w:ascii="Arial" w:hAnsi="Arial" w:cs="Arial"/>
          <w:bCs/>
          <w:iCs/>
          <w:sz w:val="22"/>
          <w:szCs w:val="22"/>
        </w:rPr>
        <w:t xml:space="preserve">termínech sestavení návrhů závěrečných účtů kapitol státního rozpočtu, ve znění pozdějších předpisů. Hodnocení efektivnosti je prováděno v textové části závěrečného účtu za celou kapitolu s tím, že v příloze jsou provedeny výpočty stejných ukazatelů i za jednotlivé organizační složky státu. Vzhledem k tomu, že každá OSS má naprosto odlišnou náplň činnosti, není smysluplné jejich efektivnost vzájemně porovnávat, přičemž vyhodnocení efektivnosti dle jednotlivých specifických činností každé organizace by značně zvýšilo délku již tak obsáhlého závěrečného účtu  (99 stran + 20 tabulkových příloh). Údaje o nákladovosti a efektivnosti propočítávané dle jednotlivých kompetencí CS a ostatních OSS by navíc nebyly relevantní s ostatními informacemi a údaji v celém materiálu, jehož předmětem je vyhodnocení výsledků hospodaření za kapitolu jako celek a uvedení hlavních skutečností, které toto hospodaření ovlivnily.  </w:t>
      </w:r>
    </w:p>
    <w:p w:rsidR="00FD1079" w:rsidRDefault="009B7DC3" w:rsidP="006E3C49">
      <w:pPr>
        <w:jc w:val="both"/>
        <w:rPr>
          <w:rFonts w:ascii="Arial" w:hAnsi="Arial" w:cs="Arial"/>
          <w:bCs/>
          <w:iCs/>
          <w:sz w:val="22"/>
          <w:szCs w:val="22"/>
        </w:rPr>
      </w:pPr>
      <w:r w:rsidRPr="009343B9">
        <w:rPr>
          <w:rFonts w:ascii="Arial" w:hAnsi="Arial" w:cs="Arial"/>
          <w:bCs/>
          <w:iCs/>
          <w:sz w:val="22"/>
          <w:szCs w:val="22"/>
        </w:rPr>
        <w:t xml:space="preserve">Ve Zprávě o činnosti Finanční správy ČR a Celní správy ČR za rok 2014 se uvádí struktura zaměstnanců zpravidla v ukazateli „přepočtený počet zaměstnanců k 31. 12. příslušného roku“. V tabulce Struktura zaměstnanců Celní správy ČR podle činností se uvádí struktura podle činností používaní pro mezinárodní srovnání OECD, EK, IOTA, CIAT atd. Z takto evidovaného počtu zaměstnanců se vychází i při výpočtu podílů nákladů na příjmech dle jednotlivých oblastí (správa daní, správa cel). NKÚ zjišťoval údaje jinými postupy, tudíž tyto nejsou srovnatelné. Považujeme za zcela korektní, že se na data používají různé pohledy, které mají svoje specifické interpretace. Tyto pohledy jsou upraveny metodikami a obecně lze konstatovat, že mají přispívat k hlubší analýze a pochopení problému. </w:t>
      </w:r>
    </w:p>
    <w:p w:rsidR="00B722D5" w:rsidRDefault="00E03962" w:rsidP="006E3C49">
      <w:pPr>
        <w:jc w:val="both"/>
        <w:rPr>
          <w:rFonts w:ascii="Arial" w:hAnsi="Arial" w:cs="Arial"/>
          <w:bCs/>
          <w:iCs/>
          <w:sz w:val="22"/>
          <w:szCs w:val="22"/>
        </w:rPr>
      </w:pPr>
      <w:r w:rsidRPr="00E03962">
        <w:rPr>
          <w:rFonts w:ascii="Arial" w:hAnsi="Arial" w:cs="Arial"/>
          <w:bCs/>
          <w:iCs/>
          <w:sz w:val="22"/>
          <w:szCs w:val="22"/>
        </w:rPr>
        <w:t xml:space="preserve">Na základě předchozích podnětů a v souvislosti s potřebou koordinace sběru dat pro zpracování jednotného dotazníku v rámci dohody </w:t>
      </w:r>
      <w:r w:rsidRPr="00D801DF">
        <w:rPr>
          <w:rFonts w:ascii="Arial" w:hAnsi="Arial" w:cs="Arial"/>
          <w:bCs/>
          <w:iCs/>
          <w:sz w:val="22"/>
          <w:szCs w:val="22"/>
        </w:rPr>
        <w:t>OECD, IOTA, IMF</w:t>
      </w:r>
      <w:r w:rsidR="00D801DF">
        <w:rPr>
          <w:rFonts w:ascii="Arial" w:hAnsi="Arial" w:cs="Arial"/>
          <w:bCs/>
          <w:iCs/>
          <w:sz w:val="22"/>
          <w:szCs w:val="22"/>
        </w:rPr>
        <w:t xml:space="preserve">, </w:t>
      </w:r>
      <w:r w:rsidRPr="00D801DF">
        <w:rPr>
          <w:rFonts w:ascii="Arial" w:hAnsi="Arial" w:cs="Arial"/>
          <w:bCs/>
          <w:iCs/>
          <w:sz w:val="22"/>
          <w:szCs w:val="22"/>
        </w:rPr>
        <w:t>CIAT</w:t>
      </w:r>
      <w:r w:rsidRPr="00E03962">
        <w:rPr>
          <w:rFonts w:ascii="Arial" w:hAnsi="Arial" w:cs="Arial"/>
          <w:bCs/>
          <w:iCs/>
          <w:sz w:val="22"/>
          <w:szCs w:val="22"/>
        </w:rPr>
        <w:t xml:space="preserve"> </w:t>
      </w:r>
      <w:r w:rsidR="00D801DF">
        <w:rPr>
          <w:rFonts w:ascii="Arial" w:hAnsi="Arial" w:cs="Arial"/>
          <w:bCs/>
          <w:iCs/>
          <w:sz w:val="22"/>
          <w:szCs w:val="22"/>
        </w:rPr>
        <w:t xml:space="preserve">a WHO </w:t>
      </w:r>
      <w:r w:rsidRPr="00E03962">
        <w:rPr>
          <w:rFonts w:ascii="Arial" w:hAnsi="Arial" w:cs="Arial"/>
          <w:bCs/>
          <w:iCs/>
          <w:sz w:val="22"/>
          <w:szCs w:val="22"/>
        </w:rPr>
        <w:t>o</w:t>
      </w:r>
      <w:r w:rsidR="00DD5DD5">
        <w:rPr>
          <w:rFonts w:ascii="Arial" w:hAnsi="Arial" w:cs="Arial"/>
          <w:bCs/>
          <w:iCs/>
          <w:sz w:val="22"/>
          <w:szCs w:val="22"/>
        </w:rPr>
        <w:t> </w:t>
      </w:r>
      <w:r w:rsidRPr="00E03962">
        <w:rPr>
          <w:rFonts w:ascii="Arial" w:hAnsi="Arial" w:cs="Arial"/>
          <w:bCs/>
          <w:iCs/>
          <w:sz w:val="22"/>
          <w:szCs w:val="22"/>
        </w:rPr>
        <w:t xml:space="preserve">sjednocení sledovaných ukazatelů v rámci projektu „International Survey on Revenue Administration“ (ISORA) </w:t>
      </w:r>
      <w:r w:rsidR="00AB2310">
        <w:rPr>
          <w:rFonts w:ascii="Arial" w:hAnsi="Arial" w:cs="Arial"/>
          <w:bCs/>
          <w:iCs/>
          <w:sz w:val="22"/>
          <w:szCs w:val="22"/>
        </w:rPr>
        <w:t xml:space="preserve">bude na </w:t>
      </w:r>
      <w:r w:rsidRPr="00E03962">
        <w:rPr>
          <w:rFonts w:ascii="Arial" w:hAnsi="Arial" w:cs="Arial"/>
          <w:bCs/>
          <w:iCs/>
          <w:sz w:val="22"/>
          <w:szCs w:val="22"/>
        </w:rPr>
        <w:t>zprávu o</w:t>
      </w:r>
      <w:r w:rsidR="00D801DF">
        <w:rPr>
          <w:rFonts w:ascii="Arial" w:hAnsi="Arial" w:cs="Arial"/>
          <w:bCs/>
          <w:iCs/>
          <w:sz w:val="22"/>
          <w:szCs w:val="22"/>
        </w:rPr>
        <w:t> </w:t>
      </w:r>
      <w:r w:rsidRPr="00E03962">
        <w:rPr>
          <w:rFonts w:ascii="Arial" w:hAnsi="Arial" w:cs="Arial"/>
          <w:bCs/>
          <w:iCs/>
          <w:sz w:val="22"/>
          <w:szCs w:val="22"/>
        </w:rPr>
        <w:t>činnosti za rok 2016</w:t>
      </w:r>
      <w:r w:rsidR="00AB2310">
        <w:rPr>
          <w:rFonts w:ascii="Arial" w:hAnsi="Arial" w:cs="Arial"/>
          <w:bCs/>
          <w:iCs/>
          <w:sz w:val="22"/>
          <w:szCs w:val="22"/>
        </w:rPr>
        <w:t xml:space="preserve"> uplatněna nová metodika</w:t>
      </w:r>
      <w:r w:rsidRPr="00E03962">
        <w:rPr>
          <w:rFonts w:ascii="Arial" w:hAnsi="Arial" w:cs="Arial"/>
          <w:bCs/>
          <w:iCs/>
          <w:sz w:val="22"/>
          <w:szCs w:val="22"/>
        </w:rPr>
        <w:t>. Údaje budou vykazovány podle procesů a personální náročnost bude v FTE a nikoliv v počtech systemizovaných míst.</w:t>
      </w:r>
    </w:p>
    <w:p w:rsidR="00E03962" w:rsidRPr="006E3C49" w:rsidRDefault="00E03962" w:rsidP="006E3C49">
      <w:pPr>
        <w:jc w:val="both"/>
        <w:rPr>
          <w:rFonts w:ascii="Arial" w:hAnsi="Arial" w:cs="Arial"/>
          <w:bCs/>
          <w:iCs/>
          <w:sz w:val="22"/>
          <w:szCs w:val="22"/>
        </w:rPr>
      </w:pPr>
    </w:p>
    <w:p w:rsidR="006E3C49" w:rsidRPr="006E3C49" w:rsidRDefault="006E3C49" w:rsidP="006E3C49">
      <w:pPr>
        <w:jc w:val="both"/>
        <w:rPr>
          <w:rFonts w:ascii="Arial" w:hAnsi="Arial" w:cs="Arial"/>
          <w:bCs/>
          <w:iCs/>
          <w:sz w:val="22"/>
          <w:szCs w:val="22"/>
        </w:rPr>
      </w:pPr>
      <w:r w:rsidRPr="006E3C49">
        <w:rPr>
          <w:rFonts w:ascii="Arial" w:hAnsi="Arial" w:cs="Arial"/>
          <w:bCs/>
          <w:iCs/>
          <w:sz w:val="22"/>
          <w:szCs w:val="22"/>
          <w:u w:val="single"/>
        </w:rPr>
        <w:t>Opatření GŘC:</w:t>
      </w:r>
    </w:p>
    <w:p w:rsidR="006E3C49" w:rsidRDefault="00B722D5" w:rsidP="006E3C49">
      <w:pPr>
        <w:jc w:val="both"/>
        <w:rPr>
          <w:rFonts w:ascii="Arial" w:hAnsi="Arial" w:cs="Arial"/>
          <w:bCs/>
          <w:iCs/>
          <w:sz w:val="22"/>
          <w:szCs w:val="22"/>
        </w:rPr>
      </w:pPr>
      <w:r>
        <w:rPr>
          <w:rFonts w:ascii="Arial" w:hAnsi="Arial" w:cs="Arial"/>
          <w:bCs/>
          <w:iCs/>
          <w:sz w:val="22"/>
          <w:szCs w:val="22"/>
        </w:rPr>
        <w:t>B</w:t>
      </w:r>
      <w:r w:rsidR="009343B9">
        <w:rPr>
          <w:rFonts w:ascii="Arial" w:hAnsi="Arial" w:cs="Arial"/>
          <w:bCs/>
          <w:iCs/>
          <w:sz w:val="22"/>
          <w:szCs w:val="22"/>
        </w:rPr>
        <w:t>yla</w:t>
      </w:r>
      <w:r w:rsidRPr="00B722D5">
        <w:rPr>
          <w:rFonts w:ascii="Arial" w:hAnsi="Arial" w:cs="Arial"/>
          <w:bCs/>
          <w:iCs/>
          <w:sz w:val="22"/>
          <w:szCs w:val="22"/>
        </w:rPr>
        <w:t xml:space="preserve"> stanovena nová metodika, která bude uplatněna na zprávu o činnosti za rok 2016. Údaje budou vykazovány podle procesů a personální náročnost bude v FTE a nikoliv v počtech systemizovaných míst.</w:t>
      </w:r>
    </w:p>
    <w:p w:rsidR="00B722D5" w:rsidRPr="006E3C49" w:rsidRDefault="00B722D5" w:rsidP="006E3C49">
      <w:pPr>
        <w:jc w:val="both"/>
        <w:rPr>
          <w:rFonts w:ascii="Arial" w:hAnsi="Arial" w:cs="Arial"/>
          <w:bCs/>
          <w:iCs/>
          <w:sz w:val="22"/>
          <w:szCs w:val="22"/>
        </w:rPr>
      </w:pPr>
    </w:p>
    <w:p w:rsidR="006E3C49" w:rsidRPr="006E3C49" w:rsidRDefault="006E3C49" w:rsidP="006E3C49">
      <w:pPr>
        <w:jc w:val="both"/>
        <w:rPr>
          <w:rFonts w:ascii="Arial" w:hAnsi="Arial" w:cs="Arial"/>
          <w:bCs/>
          <w:iCs/>
          <w:sz w:val="22"/>
          <w:szCs w:val="22"/>
        </w:rPr>
      </w:pPr>
      <w:r w:rsidRPr="006E3C49">
        <w:rPr>
          <w:rFonts w:ascii="Arial" w:hAnsi="Arial" w:cs="Arial"/>
          <w:bCs/>
          <w:iCs/>
          <w:sz w:val="22"/>
          <w:szCs w:val="22"/>
          <w:u w:val="single"/>
        </w:rPr>
        <w:t>Termín:</w:t>
      </w:r>
      <w:r w:rsidRPr="006E3C49">
        <w:rPr>
          <w:rFonts w:ascii="Arial" w:hAnsi="Arial" w:cs="Arial"/>
          <w:bCs/>
          <w:iCs/>
          <w:sz w:val="22"/>
          <w:szCs w:val="22"/>
        </w:rPr>
        <w:t xml:space="preserve"> </w:t>
      </w:r>
      <w:r w:rsidR="00D10429">
        <w:rPr>
          <w:rFonts w:ascii="Arial" w:hAnsi="Arial" w:cs="Arial"/>
          <w:bCs/>
          <w:iCs/>
          <w:sz w:val="22"/>
          <w:szCs w:val="22"/>
        </w:rPr>
        <w:t>splněno</w:t>
      </w:r>
    </w:p>
    <w:p w:rsidR="006E3C49" w:rsidRDefault="006E3C49" w:rsidP="00D278F9">
      <w:pPr>
        <w:jc w:val="both"/>
        <w:rPr>
          <w:rFonts w:ascii="Arial" w:hAnsi="Arial" w:cs="Arial"/>
          <w:bCs/>
          <w:iCs/>
          <w:sz w:val="22"/>
          <w:szCs w:val="22"/>
        </w:rPr>
      </w:pPr>
    </w:p>
    <w:p w:rsidR="006E3C49" w:rsidRDefault="006E3C49" w:rsidP="00D278F9">
      <w:pPr>
        <w:jc w:val="both"/>
        <w:rPr>
          <w:rFonts w:ascii="Arial" w:hAnsi="Arial" w:cs="Arial"/>
          <w:bCs/>
          <w:iCs/>
          <w:sz w:val="22"/>
          <w:szCs w:val="22"/>
        </w:rPr>
      </w:pPr>
    </w:p>
    <w:p w:rsidR="006E3C49" w:rsidRPr="006E3C49" w:rsidRDefault="006E3C49" w:rsidP="006E3C49">
      <w:pPr>
        <w:pStyle w:val="Odstavecseseznamem"/>
        <w:numPr>
          <w:ilvl w:val="0"/>
          <w:numId w:val="22"/>
        </w:numPr>
        <w:jc w:val="both"/>
        <w:rPr>
          <w:rFonts w:ascii="Arial" w:hAnsi="Arial" w:cs="Arial"/>
          <w:b/>
          <w:bCs/>
          <w:sz w:val="22"/>
          <w:szCs w:val="22"/>
        </w:rPr>
      </w:pPr>
      <w:r w:rsidRPr="006E3C49">
        <w:rPr>
          <w:rFonts w:ascii="Arial" w:hAnsi="Arial" w:cs="Arial"/>
          <w:b/>
          <w:bCs/>
          <w:sz w:val="22"/>
          <w:szCs w:val="22"/>
        </w:rPr>
        <w:t>Efektivnost výdajů vynaložených na projekty Modernizace Celní správy ČR a</w:t>
      </w:r>
      <w:r w:rsidR="002C6333">
        <w:rPr>
          <w:rFonts w:ascii="Arial" w:hAnsi="Arial" w:cs="Arial"/>
          <w:b/>
          <w:bCs/>
          <w:sz w:val="22"/>
          <w:szCs w:val="22"/>
        </w:rPr>
        <w:t> </w:t>
      </w:r>
      <w:r w:rsidRPr="006E3C49">
        <w:rPr>
          <w:rFonts w:ascii="Arial" w:hAnsi="Arial" w:cs="Arial"/>
          <w:b/>
          <w:bCs/>
          <w:sz w:val="22"/>
          <w:szCs w:val="22"/>
        </w:rPr>
        <w:t xml:space="preserve">Komplexní zavedení procesního řízení a procesní optimalizace v Celní správě České republiky </w:t>
      </w:r>
    </w:p>
    <w:p w:rsidR="006E3C49" w:rsidRPr="003D1976" w:rsidRDefault="006E3C49" w:rsidP="006E3C49">
      <w:pPr>
        <w:rPr>
          <w:b/>
          <w:bCs/>
          <w:sz w:val="20"/>
          <w:szCs w:val="20"/>
        </w:rPr>
      </w:pPr>
    </w:p>
    <w:p w:rsidR="006E3C49" w:rsidRPr="006E3C49" w:rsidRDefault="006E3C49" w:rsidP="006E3C49">
      <w:pPr>
        <w:jc w:val="both"/>
        <w:rPr>
          <w:rFonts w:ascii="Arial" w:hAnsi="Arial" w:cs="Arial"/>
          <w:b/>
          <w:bCs/>
          <w:sz w:val="22"/>
          <w:szCs w:val="22"/>
        </w:rPr>
      </w:pPr>
      <w:r>
        <w:rPr>
          <w:rFonts w:ascii="Arial" w:hAnsi="Arial" w:cs="Arial"/>
          <w:b/>
          <w:bCs/>
          <w:sz w:val="22"/>
          <w:szCs w:val="22"/>
        </w:rPr>
        <w:t xml:space="preserve">B.1 </w:t>
      </w:r>
      <w:r w:rsidRPr="006E3C49">
        <w:rPr>
          <w:rFonts w:ascii="Arial" w:hAnsi="Arial" w:cs="Arial"/>
          <w:b/>
          <w:bCs/>
          <w:sz w:val="22"/>
          <w:szCs w:val="22"/>
        </w:rPr>
        <w:t>Projekt Modernizace Celní správy ČR</w:t>
      </w:r>
    </w:p>
    <w:p w:rsidR="00F60850" w:rsidRDefault="00F60850" w:rsidP="00D278F9">
      <w:pPr>
        <w:jc w:val="both"/>
        <w:rPr>
          <w:rFonts w:ascii="Arial" w:hAnsi="Arial" w:cs="Arial"/>
          <w:bCs/>
          <w:iCs/>
          <w:sz w:val="22"/>
          <w:szCs w:val="22"/>
        </w:rPr>
      </w:pPr>
    </w:p>
    <w:p w:rsidR="006E3C49" w:rsidRPr="006E3C49" w:rsidRDefault="006E3C49" w:rsidP="006E3C49">
      <w:pPr>
        <w:jc w:val="both"/>
        <w:rPr>
          <w:rFonts w:ascii="Arial" w:hAnsi="Arial" w:cs="Arial"/>
          <w:b/>
          <w:bCs/>
          <w:sz w:val="22"/>
          <w:szCs w:val="22"/>
        </w:rPr>
      </w:pPr>
      <w:r w:rsidRPr="006E3C49">
        <w:rPr>
          <w:rFonts w:ascii="Arial" w:hAnsi="Arial" w:cs="Arial"/>
          <w:b/>
          <w:bCs/>
          <w:sz w:val="22"/>
          <w:szCs w:val="22"/>
        </w:rPr>
        <w:t>1. Stanovení cílového stavu a naplnění odůvodnění potřebnosti modernizace CS ČR</w:t>
      </w:r>
    </w:p>
    <w:p w:rsidR="006E3C49" w:rsidRPr="006E3C49" w:rsidRDefault="006E3C49" w:rsidP="006E3C49">
      <w:pPr>
        <w:jc w:val="both"/>
        <w:rPr>
          <w:rFonts w:ascii="Arial" w:hAnsi="Arial" w:cs="Arial"/>
          <w:bCs/>
          <w:sz w:val="22"/>
          <w:szCs w:val="22"/>
        </w:rPr>
      </w:pPr>
      <w:r>
        <w:rPr>
          <w:rFonts w:ascii="Arial" w:hAnsi="Arial" w:cs="Arial"/>
          <w:bCs/>
          <w:sz w:val="22"/>
          <w:szCs w:val="22"/>
        </w:rPr>
        <w:t xml:space="preserve">    </w:t>
      </w:r>
      <w:r w:rsidRPr="006E3C49">
        <w:rPr>
          <w:rFonts w:ascii="Arial" w:hAnsi="Arial" w:cs="Arial"/>
          <w:bCs/>
          <w:sz w:val="22"/>
          <w:szCs w:val="22"/>
        </w:rPr>
        <w:t>(str. 12 Kontrolního závěru)</w:t>
      </w:r>
    </w:p>
    <w:p w:rsidR="006E3C49" w:rsidRDefault="006E3C49" w:rsidP="00D278F9">
      <w:pPr>
        <w:jc w:val="both"/>
        <w:rPr>
          <w:rFonts w:ascii="Arial" w:hAnsi="Arial" w:cs="Arial"/>
          <w:bCs/>
          <w:iCs/>
          <w:sz w:val="22"/>
          <w:szCs w:val="22"/>
        </w:rPr>
      </w:pPr>
    </w:p>
    <w:p w:rsidR="006E3C49" w:rsidRPr="006E3C49" w:rsidRDefault="006E3C49" w:rsidP="006E3C49">
      <w:pPr>
        <w:jc w:val="both"/>
        <w:rPr>
          <w:rFonts w:ascii="Arial" w:hAnsi="Arial" w:cs="Arial"/>
          <w:bCs/>
          <w:i/>
          <w:iCs/>
          <w:sz w:val="22"/>
          <w:szCs w:val="22"/>
          <w:u w:val="single"/>
        </w:rPr>
      </w:pPr>
      <w:r w:rsidRPr="006E3C49">
        <w:rPr>
          <w:rFonts w:ascii="Arial" w:hAnsi="Arial" w:cs="Arial"/>
          <w:bCs/>
          <w:i/>
          <w:iCs/>
          <w:sz w:val="22"/>
          <w:szCs w:val="22"/>
          <w:u w:val="single"/>
        </w:rPr>
        <w:t>Zjištění NKÚ:</w:t>
      </w:r>
    </w:p>
    <w:p w:rsidR="006E3C49" w:rsidRPr="006E3C49" w:rsidRDefault="006E3C49" w:rsidP="006E3C49">
      <w:pPr>
        <w:jc w:val="both"/>
        <w:rPr>
          <w:rFonts w:ascii="Arial" w:hAnsi="Arial" w:cs="Arial"/>
          <w:bCs/>
          <w:i/>
          <w:sz w:val="22"/>
          <w:szCs w:val="22"/>
        </w:rPr>
      </w:pPr>
      <w:r>
        <w:rPr>
          <w:rFonts w:ascii="Arial" w:hAnsi="Arial" w:cs="Arial"/>
          <w:bCs/>
          <w:i/>
          <w:sz w:val="22"/>
          <w:szCs w:val="22"/>
        </w:rPr>
        <w:t>„</w:t>
      </w:r>
      <w:r w:rsidRPr="006E3C49">
        <w:rPr>
          <w:rFonts w:ascii="Arial" w:hAnsi="Arial" w:cs="Arial"/>
          <w:bCs/>
          <w:i/>
          <w:sz w:val="22"/>
          <w:szCs w:val="22"/>
        </w:rPr>
        <w:t>Základním cílem projektu bylo změnou organizační struktury CS ČR vytvořit systém řízení, který by umožnil pružně reagovat na požadavky a potřeby podnikatelského prostředí a</w:t>
      </w:r>
      <w:r w:rsidR="002C6333">
        <w:rPr>
          <w:rFonts w:ascii="Arial" w:hAnsi="Arial" w:cs="Arial"/>
          <w:bCs/>
          <w:i/>
          <w:sz w:val="22"/>
          <w:szCs w:val="22"/>
        </w:rPr>
        <w:t> </w:t>
      </w:r>
      <w:r w:rsidRPr="006E3C49">
        <w:rPr>
          <w:rFonts w:ascii="Arial" w:hAnsi="Arial" w:cs="Arial"/>
          <w:bCs/>
          <w:i/>
          <w:sz w:val="22"/>
          <w:szCs w:val="22"/>
        </w:rPr>
        <w:t xml:space="preserve">zároveň zajistil průběžné zvyšování efektivnosti a účinnosti fungování CS ČR.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NKÚ zjišťoval, zda byly vypracovány analýzy efektivnosti a funkčnosti třístupňové organizační struktury CS ČR a změny na dvoustupňovou organizační strukturu (případně jiné varianty). Studie proveditelnosti, kterou nechalo GŘC vypracovat, rozpracovala pouze dvě varianty dvoustupňového řízení. U třístupňové struktury byla stejně jako v důvodové zprávě k</w:t>
      </w:r>
      <w:r w:rsidR="002C6333">
        <w:rPr>
          <w:rFonts w:ascii="Arial" w:hAnsi="Arial" w:cs="Arial"/>
          <w:bCs/>
          <w:i/>
          <w:sz w:val="22"/>
          <w:szCs w:val="22"/>
        </w:rPr>
        <w:t> </w:t>
      </w:r>
      <w:r w:rsidRPr="006E3C49">
        <w:rPr>
          <w:rFonts w:ascii="Arial" w:hAnsi="Arial" w:cs="Arial"/>
          <w:bCs/>
          <w:i/>
          <w:sz w:val="22"/>
          <w:szCs w:val="22"/>
        </w:rPr>
        <w:t>zákonu o Celní správě České republiky uvedena pouze její negativa a žádné varianty s</w:t>
      </w:r>
      <w:r w:rsidR="002C6333">
        <w:rPr>
          <w:rFonts w:ascii="Arial" w:hAnsi="Arial" w:cs="Arial"/>
          <w:bCs/>
          <w:i/>
          <w:sz w:val="22"/>
          <w:szCs w:val="22"/>
        </w:rPr>
        <w:t> </w:t>
      </w:r>
      <w:r w:rsidRPr="006E3C49">
        <w:rPr>
          <w:rFonts w:ascii="Arial" w:hAnsi="Arial" w:cs="Arial"/>
          <w:bCs/>
          <w:i/>
          <w:sz w:val="22"/>
          <w:szCs w:val="22"/>
        </w:rPr>
        <w:t>případnými návrhy změn vyhodnoceny nebyly. Další dokumenty, které by hodnotily efektivnost třístupňové struktury, GŘC nepředložilo. Přestože zpracovatel studie proveditelnosti doporučil variantu 8 CÚ + 1 CÚ, byla vybrána varianta 14 CÚ + 1 CÚ.</w:t>
      </w:r>
    </w:p>
    <w:p w:rsidR="006E3C49" w:rsidRPr="006E3C49" w:rsidRDefault="006E3C49" w:rsidP="006E3C49">
      <w:pPr>
        <w:jc w:val="both"/>
        <w:rPr>
          <w:rFonts w:ascii="Arial" w:hAnsi="Arial" w:cs="Arial"/>
          <w:bCs/>
          <w:i/>
          <w:sz w:val="22"/>
          <w:szCs w:val="22"/>
        </w:rPr>
      </w:pPr>
    </w:p>
    <w:p w:rsidR="006E3C49" w:rsidRDefault="006E3C49" w:rsidP="006E3C49">
      <w:pPr>
        <w:jc w:val="both"/>
        <w:rPr>
          <w:rFonts w:ascii="Arial" w:hAnsi="Arial" w:cs="Arial"/>
          <w:bCs/>
          <w:i/>
          <w:sz w:val="22"/>
          <w:szCs w:val="22"/>
        </w:rPr>
      </w:pPr>
      <w:r w:rsidRPr="00CC2666">
        <w:rPr>
          <w:rFonts w:ascii="Arial" w:hAnsi="Arial" w:cs="Arial"/>
          <w:b/>
          <w:bCs/>
          <w:i/>
          <w:sz w:val="22"/>
          <w:szCs w:val="22"/>
        </w:rPr>
        <w:t>NKÚ shledal vyhodnocení tzv. „nulté“ varianty (třístupňová struktura) jako formální. Cíle, pro které byl projekt Modernizace Celní správy ČR, na který bylo vynaloženo cca 51 mil. Kč, realizován, byly naplněny jen částečně a v obdobné míře mohly být dosaženy i při zachování třístupňové struktury</w:t>
      </w:r>
      <w:r w:rsidRPr="006E3C49">
        <w:rPr>
          <w:rFonts w:ascii="Arial" w:hAnsi="Arial" w:cs="Arial"/>
          <w:bCs/>
          <w:i/>
          <w:sz w:val="22"/>
          <w:szCs w:val="22"/>
        </w:rPr>
        <w:t>.</w:t>
      </w:r>
      <w:r>
        <w:rPr>
          <w:rFonts w:ascii="Arial" w:hAnsi="Arial" w:cs="Arial"/>
          <w:bCs/>
          <w:i/>
          <w:sz w:val="22"/>
          <w:szCs w:val="22"/>
        </w:rPr>
        <w:t>“</w:t>
      </w:r>
    </w:p>
    <w:p w:rsidR="00FF77D3" w:rsidRDefault="00FF77D3" w:rsidP="006E3C49">
      <w:pPr>
        <w:jc w:val="both"/>
        <w:rPr>
          <w:rFonts w:ascii="Arial" w:hAnsi="Arial" w:cs="Arial"/>
          <w:bCs/>
          <w:i/>
          <w:sz w:val="22"/>
          <w:szCs w:val="22"/>
        </w:rPr>
      </w:pPr>
    </w:p>
    <w:p w:rsidR="006E3C49" w:rsidRPr="006E3C49" w:rsidRDefault="006E3C49" w:rsidP="006E3C49">
      <w:pPr>
        <w:jc w:val="both"/>
        <w:rPr>
          <w:rFonts w:ascii="Arial" w:hAnsi="Arial" w:cs="Arial"/>
          <w:bCs/>
          <w:iCs/>
          <w:sz w:val="22"/>
          <w:szCs w:val="22"/>
          <w:u w:val="single"/>
        </w:rPr>
      </w:pPr>
      <w:r w:rsidRPr="006E3C49">
        <w:rPr>
          <w:rFonts w:ascii="Arial" w:hAnsi="Arial" w:cs="Arial"/>
          <w:bCs/>
          <w:iCs/>
          <w:sz w:val="22"/>
          <w:szCs w:val="22"/>
          <w:u w:val="single"/>
        </w:rPr>
        <w:t>Stanovisko GŘC:</w:t>
      </w:r>
    </w:p>
    <w:p w:rsidR="00E03962" w:rsidRPr="008875AD" w:rsidRDefault="00E03962" w:rsidP="008875AD">
      <w:pPr>
        <w:jc w:val="both"/>
        <w:rPr>
          <w:rFonts w:ascii="Arial" w:hAnsi="Arial" w:cs="Arial"/>
          <w:bCs/>
          <w:iCs/>
          <w:sz w:val="22"/>
          <w:szCs w:val="22"/>
        </w:rPr>
      </w:pPr>
      <w:r w:rsidRPr="008875AD">
        <w:rPr>
          <w:rFonts w:ascii="Arial" w:hAnsi="Arial" w:cs="Arial"/>
          <w:bCs/>
          <w:iCs/>
          <w:sz w:val="22"/>
          <w:szCs w:val="22"/>
        </w:rPr>
        <w:t xml:space="preserve">Kromě důvodů k přechodu na dvoustupňovou organizační strukturu uvedených v důvodové zprávě k zákonu o Celní správě České republiky uvádíme následující. </w:t>
      </w:r>
    </w:p>
    <w:p w:rsidR="00E03962" w:rsidRPr="008875AD" w:rsidRDefault="00E03962" w:rsidP="008875AD">
      <w:pPr>
        <w:jc w:val="both"/>
        <w:rPr>
          <w:rFonts w:ascii="Arial" w:hAnsi="Arial" w:cs="Arial"/>
          <w:bCs/>
          <w:iCs/>
          <w:sz w:val="22"/>
          <w:szCs w:val="22"/>
        </w:rPr>
      </w:pPr>
      <w:r w:rsidRPr="008875AD">
        <w:rPr>
          <w:rFonts w:ascii="Arial" w:hAnsi="Arial" w:cs="Arial"/>
          <w:bCs/>
          <w:iCs/>
          <w:sz w:val="22"/>
          <w:szCs w:val="22"/>
        </w:rPr>
        <w:t>Cílem studie proveditelnosti bylo zpracovat návrh organizační struktury a procesního modelu dvoustupňové struktury řízení Celní správy ČR a zpracovat studii proveditelnosti přechodu z</w:t>
      </w:r>
      <w:r w:rsidR="00DD5DD5">
        <w:rPr>
          <w:rFonts w:ascii="Arial" w:hAnsi="Arial" w:cs="Arial"/>
          <w:bCs/>
          <w:iCs/>
          <w:sz w:val="22"/>
          <w:szCs w:val="22"/>
        </w:rPr>
        <w:t> </w:t>
      </w:r>
      <w:r w:rsidRPr="008875AD">
        <w:rPr>
          <w:rFonts w:ascii="Arial" w:hAnsi="Arial" w:cs="Arial"/>
          <w:bCs/>
          <w:iCs/>
          <w:sz w:val="22"/>
          <w:szCs w:val="22"/>
        </w:rPr>
        <w:t>třístupňové struktury řízení na dvoustupňovou strukturu řízení. Hledalo se tedy nejvhodnější organizační uspořádání v rámci dvou stupňů řízení a zachování tří stupňů se nepředpokládalo. Důvodem k tomu byl předpoklad, že dvoustupňové řízení bude použito pro ostatní orgány, které budou součástí Jednotného inkasního místa.</w:t>
      </w:r>
      <w:r w:rsidR="00612DCE">
        <w:rPr>
          <w:rFonts w:ascii="Arial" w:hAnsi="Arial" w:cs="Arial"/>
          <w:bCs/>
          <w:iCs/>
          <w:sz w:val="22"/>
          <w:szCs w:val="22"/>
        </w:rPr>
        <w:t xml:space="preserve"> </w:t>
      </w:r>
      <w:r w:rsidRPr="008820DF">
        <w:rPr>
          <w:rFonts w:ascii="Arial" w:hAnsi="Arial" w:cs="Arial"/>
          <w:bCs/>
          <w:iCs/>
          <w:sz w:val="22"/>
          <w:szCs w:val="22"/>
        </w:rPr>
        <w:t xml:space="preserve">Policie ČR přešla na dvoustupňové organizační uspořádání již od 1. ledna 2010. </w:t>
      </w:r>
    </w:p>
    <w:p w:rsidR="006E3C49" w:rsidRPr="006E3C49" w:rsidRDefault="00E03962" w:rsidP="00E03962">
      <w:pPr>
        <w:jc w:val="both"/>
        <w:rPr>
          <w:rFonts w:ascii="Arial" w:hAnsi="Arial" w:cs="Arial"/>
          <w:bCs/>
          <w:iCs/>
          <w:sz w:val="22"/>
          <w:szCs w:val="22"/>
        </w:rPr>
      </w:pPr>
      <w:r w:rsidRPr="008875AD">
        <w:rPr>
          <w:rFonts w:ascii="Arial" w:hAnsi="Arial" w:cs="Arial"/>
          <w:bCs/>
          <w:iCs/>
          <w:sz w:val="22"/>
          <w:szCs w:val="22"/>
        </w:rPr>
        <w:t>Nelze vyloučit, že bez projektu Modernizace Celní správy ČR by náklady Celní správy ČR rostly ještě rychleji. Celní správa ČR je typickou organizací, kde většina (cca 2/3) nákladů je tvořena platovými prostředky. V obecně rostoucí (konvergující ekonomice) s</w:t>
      </w:r>
      <w:r w:rsidR="001C0F81">
        <w:rPr>
          <w:rFonts w:ascii="Arial" w:hAnsi="Arial" w:cs="Arial"/>
          <w:bCs/>
          <w:iCs/>
          <w:sz w:val="22"/>
          <w:szCs w:val="22"/>
        </w:rPr>
        <w:t xml:space="preserve"> velmi nízkou cenovou úrovní je </w:t>
      </w:r>
      <w:r w:rsidRPr="008875AD">
        <w:rPr>
          <w:rFonts w:ascii="Arial" w:hAnsi="Arial" w:cs="Arial"/>
          <w:bCs/>
          <w:iCs/>
          <w:sz w:val="22"/>
          <w:szCs w:val="22"/>
        </w:rPr>
        <w:t xml:space="preserve">růst platů nepřekvapivý a nutný. Omezování ostatních nákladů v </w:t>
      </w:r>
      <w:r w:rsidR="001C0F81">
        <w:rPr>
          <w:rFonts w:ascii="Arial" w:hAnsi="Arial" w:cs="Arial"/>
          <w:bCs/>
          <w:iCs/>
          <w:sz w:val="22"/>
          <w:szCs w:val="22"/>
        </w:rPr>
        <w:t>období po krizi let 2009 až 2011</w:t>
      </w:r>
      <w:r w:rsidRPr="008875AD">
        <w:rPr>
          <w:rFonts w:ascii="Arial" w:hAnsi="Arial" w:cs="Arial"/>
          <w:bCs/>
          <w:iCs/>
          <w:sz w:val="22"/>
          <w:szCs w:val="22"/>
        </w:rPr>
        <w:t>, kdy byla obnova aktiv utlumena, nelze jednoduše očekávat. Celní správa ČR je také bezpečn</w:t>
      </w:r>
      <w:r w:rsidR="001C0F81">
        <w:rPr>
          <w:rFonts w:ascii="Arial" w:hAnsi="Arial" w:cs="Arial"/>
          <w:bCs/>
          <w:iCs/>
          <w:sz w:val="22"/>
          <w:szCs w:val="22"/>
        </w:rPr>
        <w:t xml:space="preserve">ostním sborem, který vzhledem k </w:t>
      </w:r>
      <w:r w:rsidRPr="008875AD">
        <w:rPr>
          <w:rFonts w:ascii="Arial" w:hAnsi="Arial" w:cs="Arial"/>
          <w:bCs/>
          <w:iCs/>
          <w:sz w:val="22"/>
          <w:szCs w:val="22"/>
        </w:rPr>
        <w:t>bezpečnostní situaci v Evropě v</w:t>
      </w:r>
      <w:r w:rsidR="00DD5DD5">
        <w:rPr>
          <w:rFonts w:ascii="Arial" w:hAnsi="Arial" w:cs="Arial"/>
          <w:bCs/>
          <w:iCs/>
          <w:sz w:val="22"/>
          <w:szCs w:val="22"/>
        </w:rPr>
        <w:t> </w:t>
      </w:r>
      <w:r w:rsidRPr="008875AD">
        <w:rPr>
          <w:rFonts w:ascii="Arial" w:hAnsi="Arial" w:cs="Arial"/>
          <w:bCs/>
          <w:iCs/>
          <w:sz w:val="22"/>
          <w:szCs w:val="22"/>
        </w:rPr>
        <w:t>kontrolovaném období musí postupně investovat do kvalitnějších bezpečnostních opatření</w:t>
      </w:r>
      <w:r w:rsidR="00B722D5" w:rsidRPr="00B722D5">
        <w:rPr>
          <w:rFonts w:ascii="Arial" w:hAnsi="Arial" w:cs="Arial"/>
          <w:bCs/>
          <w:iCs/>
          <w:sz w:val="22"/>
          <w:szCs w:val="22"/>
        </w:rPr>
        <w:t>.</w:t>
      </w:r>
    </w:p>
    <w:p w:rsidR="00B722D5" w:rsidRDefault="00B722D5" w:rsidP="006E3C49">
      <w:pPr>
        <w:jc w:val="both"/>
        <w:rPr>
          <w:rFonts w:ascii="Arial" w:hAnsi="Arial" w:cs="Arial"/>
          <w:bCs/>
          <w:iCs/>
          <w:sz w:val="22"/>
          <w:szCs w:val="22"/>
          <w:u w:val="single"/>
        </w:rPr>
      </w:pPr>
    </w:p>
    <w:p w:rsidR="006E3C49" w:rsidRPr="006E3C49" w:rsidRDefault="006E3C49" w:rsidP="006E3C49">
      <w:pPr>
        <w:jc w:val="both"/>
        <w:rPr>
          <w:rFonts w:ascii="Arial" w:hAnsi="Arial" w:cs="Arial"/>
          <w:bCs/>
          <w:iCs/>
          <w:sz w:val="22"/>
          <w:szCs w:val="22"/>
        </w:rPr>
      </w:pPr>
      <w:r w:rsidRPr="006E3C49">
        <w:rPr>
          <w:rFonts w:ascii="Arial" w:hAnsi="Arial" w:cs="Arial"/>
          <w:bCs/>
          <w:iCs/>
          <w:sz w:val="22"/>
          <w:szCs w:val="22"/>
          <w:u w:val="single"/>
        </w:rPr>
        <w:t>Opatření GŘC:</w:t>
      </w:r>
    </w:p>
    <w:p w:rsidR="006E3C49" w:rsidRDefault="00483297" w:rsidP="006E3C49">
      <w:pPr>
        <w:jc w:val="both"/>
        <w:rPr>
          <w:rFonts w:ascii="Arial" w:hAnsi="Arial" w:cs="Arial"/>
          <w:bCs/>
          <w:sz w:val="22"/>
          <w:szCs w:val="22"/>
        </w:rPr>
      </w:pPr>
      <w:r w:rsidRPr="00483297">
        <w:rPr>
          <w:rFonts w:ascii="Arial" w:hAnsi="Arial" w:cs="Arial"/>
          <w:bCs/>
          <w:iCs/>
          <w:sz w:val="22"/>
          <w:szCs w:val="22"/>
        </w:rPr>
        <w:t xml:space="preserve">GŘC zdůrazní povinnost, aby při výběru nejvhodnější </w:t>
      </w:r>
      <w:r>
        <w:rPr>
          <w:rFonts w:ascii="Arial" w:hAnsi="Arial" w:cs="Arial"/>
          <w:bCs/>
          <w:iCs/>
          <w:sz w:val="22"/>
          <w:szCs w:val="22"/>
        </w:rPr>
        <w:t>varianty řešení byla</w:t>
      </w:r>
      <w:r w:rsidRPr="00483297">
        <w:rPr>
          <w:rFonts w:ascii="Arial" w:hAnsi="Arial" w:cs="Arial"/>
          <w:bCs/>
          <w:iCs/>
          <w:sz w:val="22"/>
          <w:szCs w:val="22"/>
        </w:rPr>
        <w:t xml:space="preserve"> vždy adekvátně vyhodnocena i nultá varianta řešení v příslušném vnitřním aktu řízení.</w:t>
      </w:r>
    </w:p>
    <w:p w:rsidR="00421310" w:rsidRDefault="00421310" w:rsidP="006E3C49">
      <w:pPr>
        <w:jc w:val="both"/>
        <w:rPr>
          <w:rFonts w:ascii="Arial" w:hAnsi="Arial" w:cs="Arial"/>
          <w:bCs/>
          <w:iCs/>
          <w:sz w:val="22"/>
          <w:szCs w:val="22"/>
          <w:u w:val="single"/>
        </w:rPr>
      </w:pPr>
    </w:p>
    <w:p w:rsidR="00845FA0" w:rsidRDefault="00845FA0" w:rsidP="006E3C49">
      <w:pPr>
        <w:jc w:val="both"/>
        <w:rPr>
          <w:rFonts w:ascii="Arial" w:hAnsi="Arial" w:cs="Arial"/>
          <w:bCs/>
          <w:sz w:val="22"/>
          <w:szCs w:val="22"/>
        </w:rPr>
      </w:pPr>
      <w:r w:rsidRPr="00914F63">
        <w:rPr>
          <w:rFonts w:ascii="Arial" w:hAnsi="Arial" w:cs="Arial"/>
          <w:bCs/>
          <w:iCs/>
          <w:sz w:val="22"/>
          <w:szCs w:val="22"/>
          <w:u w:val="single"/>
        </w:rPr>
        <w:t>Termín:</w:t>
      </w:r>
      <w:r>
        <w:rPr>
          <w:rFonts w:ascii="Arial" w:hAnsi="Arial" w:cs="Arial"/>
          <w:bCs/>
          <w:sz w:val="22"/>
          <w:szCs w:val="22"/>
        </w:rPr>
        <w:t xml:space="preserve"> </w:t>
      </w:r>
      <w:r w:rsidR="00483297">
        <w:rPr>
          <w:rFonts w:ascii="Arial" w:hAnsi="Arial" w:cs="Arial"/>
          <w:bCs/>
          <w:sz w:val="22"/>
          <w:szCs w:val="22"/>
        </w:rPr>
        <w:t>31. 12. 2017</w:t>
      </w:r>
    </w:p>
    <w:p w:rsidR="00845FA0" w:rsidRDefault="00845FA0" w:rsidP="006E3C49">
      <w:pPr>
        <w:jc w:val="both"/>
        <w:rPr>
          <w:rFonts w:ascii="Arial" w:hAnsi="Arial" w:cs="Arial"/>
          <w:bCs/>
          <w:sz w:val="22"/>
          <w:szCs w:val="22"/>
        </w:rPr>
      </w:pPr>
    </w:p>
    <w:p w:rsidR="00483297" w:rsidRDefault="00483297" w:rsidP="006E3C49">
      <w:pPr>
        <w:jc w:val="both"/>
        <w:rPr>
          <w:rFonts w:ascii="Arial" w:hAnsi="Arial" w:cs="Arial"/>
          <w:bCs/>
          <w:sz w:val="22"/>
          <w:szCs w:val="22"/>
        </w:rPr>
      </w:pPr>
    </w:p>
    <w:p w:rsidR="006E3C49" w:rsidRPr="006E3C49" w:rsidRDefault="006E3C49" w:rsidP="006E3C49">
      <w:pPr>
        <w:jc w:val="both"/>
        <w:rPr>
          <w:rFonts w:ascii="Arial" w:hAnsi="Arial" w:cs="Arial"/>
          <w:b/>
          <w:bCs/>
          <w:sz w:val="22"/>
          <w:szCs w:val="22"/>
        </w:rPr>
      </w:pPr>
      <w:r w:rsidRPr="006E3C49">
        <w:rPr>
          <w:rFonts w:ascii="Arial" w:hAnsi="Arial" w:cs="Arial"/>
          <w:b/>
          <w:bCs/>
          <w:sz w:val="22"/>
          <w:szCs w:val="22"/>
        </w:rPr>
        <w:t>2. Podpůrné procesy</w:t>
      </w:r>
    </w:p>
    <w:p w:rsidR="006E3C49" w:rsidRPr="006E3C49" w:rsidRDefault="006E3C49" w:rsidP="006E3C49">
      <w:pPr>
        <w:jc w:val="both"/>
        <w:rPr>
          <w:rFonts w:ascii="Arial" w:hAnsi="Arial" w:cs="Arial"/>
          <w:bCs/>
          <w:sz w:val="22"/>
          <w:szCs w:val="22"/>
        </w:rPr>
      </w:pPr>
      <w:r>
        <w:rPr>
          <w:rFonts w:ascii="Arial" w:hAnsi="Arial" w:cs="Arial"/>
          <w:bCs/>
          <w:sz w:val="22"/>
          <w:szCs w:val="22"/>
        </w:rPr>
        <w:t xml:space="preserve">    </w:t>
      </w:r>
      <w:r w:rsidRPr="006E3C49">
        <w:rPr>
          <w:rFonts w:ascii="Arial" w:hAnsi="Arial" w:cs="Arial"/>
          <w:bCs/>
          <w:sz w:val="22"/>
          <w:szCs w:val="22"/>
        </w:rPr>
        <w:t>(str. 13 Kontrolního závěru)</w:t>
      </w:r>
    </w:p>
    <w:p w:rsidR="006E3C49" w:rsidRDefault="006E3C49" w:rsidP="006E3C49">
      <w:pPr>
        <w:jc w:val="both"/>
        <w:rPr>
          <w:rFonts w:ascii="Arial" w:hAnsi="Arial" w:cs="Arial"/>
          <w:bCs/>
          <w:sz w:val="22"/>
          <w:szCs w:val="22"/>
        </w:rPr>
      </w:pPr>
    </w:p>
    <w:p w:rsidR="006E3C49" w:rsidRPr="006E3C49" w:rsidRDefault="006E3C49" w:rsidP="006E3C49">
      <w:pPr>
        <w:jc w:val="both"/>
        <w:rPr>
          <w:rFonts w:ascii="Arial" w:hAnsi="Arial" w:cs="Arial"/>
          <w:bCs/>
          <w:i/>
          <w:iCs/>
          <w:sz w:val="22"/>
          <w:szCs w:val="22"/>
          <w:u w:val="single"/>
        </w:rPr>
      </w:pPr>
      <w:r w:rsidRPr="006E3C49">
        <w:rPr>
          <w:rFonts w:ascii="Arial" w:hAnsi="Arial" w:cs="Arial"/>
          <w:bCs/>
          <w:i/>
          <w:iCs/>
          <w:sz w:val="22"/>
          <w:szCs w:val="22"/>
          <w:u w:val="single"/>
        </w:rPr>
        <w:t>Zjištění NKÚ:</w:t>
      </w:r>
    </w:p>
    <w:p w:rsidR="006E3C49" w:rsidRPr="006E3C49" w:rsidRDefault="006E3C49" w:rsidP="006E3C49">
      <w:pPr>
        <w:jc w:val="both"/>
        <w:rPr>
          <w:rFonts w:ascii="Arial" w:hAnsi="Arial" w:cs="Arial"/>
          <w:bCs/>
          <w:i/>
          <w:sz w:val="22"/>
          <w:szCs w:val="22"/>
        </w:rPr>
      </w:pPr>
      <w:r>
        <w:rPr>
          <w:rFonts w:ascii="Arial" w:hAnsi="Arial" w:cs="Arial"/>
          <w:bCs/>
          <w:i/>
          <w:sz w:val="22"/>
          <w:szCs w:val="22"/>
        </w:rPr>
        <w:t>„</w:t>
      </w:r>
      <w:r w:rsidRPr="006E3C49">
        <w:rPr>
          <w:rFonts w:ascii="Arial" w:hAnsi="Arial" w:cs="Arial"/>
          <w:bCs/>
          <w:i/>
          <w:sz w:val="22"/>
          <w:szCs w:val="22"/>
        </w:rPr>
        <w:t>Studie proveditelnosti a také důvodová zpráva k zákonu o Celní správě České republiky deklarovaly, že k úsporám může dojít především v podpůrných procesech zavedením středisek služeb dislokovaných na čtyřech místech ČR. Přínosem mělo být jednotné a</w:t>
      </w:r>
      <w:r w:rsidR="002C6333">
        <w:rPr>
          <w:rFonts w:ascii="Arial" w:hAnsi="Arial" w:cs="Arial"/>
          <w:bCs/>
          <w:i/>
          <w:sz w:val="22"/>
          <w:szCs w:val="22"/>
        </w:rPr>
        <w:t> </w:t>
      </w:r>
      <w:r w:rsidRPr="006E3C49">
        <w:rPr>
          <w:rFonts w:ascii="Arial" w:hAnsi="Arial" w:cs="Arial"/>
          <w:bCs/>
          <w:i/>
          <w:sz w:val="22"/>
          <w:szCs w:val="22"/>
        </w:rPr>
        <w:t>koordinované řízení podpůrných procesů a s tím spojené snižování nákladů. Hlavní změny měly spočívat zejména ve sjednocování a standardizaci výkonu procesů. Změny a úspory v</w:t>
      </w:r>
      <w:r w:rsidR="002C6333">
        <w:rPr>
          <w:rFonts w:ascii="Arial" w:hAnsi="Arial" w:cs="Arial"/>
          <w:bCs/>
          <w:i/>
          <w:sz w:val="22"/>
          <w:szCs w:val="22"/>
        </w:rPr>
        <w:t> </w:t>
      </w:r>
      <w:r w:rsidRPr="006E3C49">
        <w:rPr>
          <w:rFonts w:ascii="Arial" w:hAnsi="Arial" w:cs="Arial"/>
          <w:bCs/>
          <w:i/>
          <w:sz w:val="22"/>
          <w:szCs w:val="22"/>
        </w:rPr>
        <w:t xml:space="preserve">hlavních procesech nebyly predikovány.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Pracovní týmy GŘC, které rozpracovaly studii proveditelnosti, navrhly úspory personálních kapacit v agendách finančních, v hospodářské správě a v řízení ICT. GŘC projekt Modernizace Celní správy ČR nevyhodnotilo, a to ani z hlediska dosažení dílčích navrhovaných úspor (snížení provozních nákladů, mzdových nákladů, snížení počtu pracovišť).</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Právní úprava účinná do 31. 12. 2012 upravovala věcnou příslušnost celních ředitelství (dále také „CŘ“) pouze k hlavním procesům. Za hospodaření s peněžními prostředky a jiným majetkem státu odpovídalo GŘC. Bylo tak v pravomoci generálního ředitele GŘC centralizovat podpůrné činnosti a restrukturalizovat v mezích zákona CŘ. K převodu podpůrných činností na GŘC došlo ještě před účinností nového zákona o Celní správě České republiky (v letech 2011 a 2012). V případě finanční a hospodářské správy počet míst výkonu těchto činností zůstal stejný (sídla zrušených CŘ).</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 xml:space="preserve">CS ČR centralizovala v rámci organizačních změn v oblasti hospodářské správy pouze nákupy kancelářských potřeb a čisticích prostředků, za tři roky tím dosáhla úspory ve výši cca 2,8 mil. Kč. </w:t>
      </w:r>
    </w:p>
    <w:p w:rsidR="006E3C49" w:rsidRDefault="006E3C49" w:rsidP="006E3C49">
      <w:pPr>
        <w:jc w:val="both"/>
        <w:rPr>
          <w:rFonts w:ascii="Arial" w:hAnsi="Arial" w:cs="Arial"/>
          <w:bCs/>
          <w:i/>
          <w:sz w:val="22"/>
          <w:szCs w:val="22"/>
        </w:rPr>
      </w:pPr>
      <w:r w:rsidRPr="00CC2666">
        <w:rPr>
          <w:rFonts w:ascii="Arial" w:hAnsi="Arial" w:cs="Arial"/>
          <w:b/>
          <w:bCs/>
          <w:i/>
          <w:sz w:val="22"/>
          <w:szCs w:val="22"/>
        </w:rPr>
        <w:t>NKÚ zjistil a vyhodnotil, že úspory a provedené změny v podpůrných procesech mohly být (a některé byly) realizovány i bez přechodu na dvoustupňovou strukturu a</w:t>
      </w:r>
      <w:r w:rsidR="002C6333">
        <w:rPr>
          <w:rFonts w:ascii="Arial" w:hAnsi="Arial" w:cs="Arial"/>
          <w:b/>
          <w:bCs/>
          <w:i/>
          <w:sz w:val="22"/>
          <w:szCs w:val="22"/>
        </w:rPr>
        <w:t> </w:t>
      </w:r>
      <w:r w:rsidRPr="00CC2666">
        <w:rPr>
          <w:rFonts w:ascii="Arial" w:hAnsi="Arial" w:cs="Arial"/>
          <w:b/>
          <w:bCs/>
          <w:i/>
          <w:sz w:val="22"/>
          <w:szCs w:val="22"/>
        </w:rPr>
        <w:t>že nebylo dosaženo významných úspor personálních zdrojů v podpůrných procesech</w:t>
      </w:r>
      <w:r w:rsidRPr="006E3C49">
        <w:rPr>
          <w:rFonts w:ascii="Arial" w:hAnsi="Arial" w:cs="Arial"/>
          <w:bCs/>
          <w:i/>
          <w:sz w:val="22"/>
          <w:szCs w:val="22"/>
        </w:rPr>
        <w:t>.</w:t>
      </w:r>
    </w:p>
    <w:p w:rsidR="00DD5DD5" w:rsidRDefault="00DD5DD5" w:rsidP="006E3C49">
      <w:pPr>
        <w:jc w:val="both"/>
        <w:rPr>
          <w:rFonts w:ascii="Arial" w:hAnsi="Arial" w:cs="Arial"/>
          <w:bCs/>
          <w:i/>
          <w:sz w:val="22"/>
          <w:szCs w:val="22"/>
        </w:rPr>
      </w:pPr>
    </w:p>
    <w:p w:rsidR="00421310" w:rsidRDefault="00421310" w:rsidP="006E3C49">
      <w:pPr>
        <w:jc w:val="both"/>
        <w:rPr>
          <w:rFonts w:ascii="Arial" w:hAnsi="Arial" w:cs="Arial"/>
          <w:bCs/>
          <w:i/>
          <w:sz w:val="22"/>
          <w:szCs w:val="22"/>
        </w:rPr>
      </w:pPr>
    </w:p>
    <w:p w:rsidR="006E3C49" w:rsidRPr="006E3C49" w:rsidRDefault="006E3C49" w:rsidP="006E3C49">
      <w:pPr>
        <w:jc w:val="both"/>
        <w:rPr>
          <w:rFonts w:ascii="Arial" w:hAnsi="Arial" w:cs="Arial"/>
          <w:bCs/>
          <w:iCs/>
          <w:sz w:val="22"/>
          <w:szCs w:val="22"/>
          <w:u w:val="single"/>
        </w:rPr>
      </w:pPr>
      <w:r w:rsidRPr="006E3C49">
        <w:rPr>
          <w:rFonts w:ascii="Arial" w:hAnsi="Arial" w:cs="Arial"/>
          <w:bCs/>
          <w:iCs/>
          <w:sz w:val="22"/>
          <w:szCs w:val="22"/>
          <w:u w:val="single"/>
        </w:rPr>
        <w:t>Stanovisko GŘC:</w:t>
      </w:r>
    </w:p>
    <w:p w:rsidR="00E03962" w:rsidRPr="008875AD" w:rsidRDefault="00E03962" w:rsidP="008875AD">
      <w:pPr>
        <w:jc w:val="both"/>
        <w:rPr>
          <w:rFonts w:ascii="Arial" w:hAnsi="Arial" w:cs="Arial"/>
          <w:bCs/>
          <w:iCs/>
          <w:sz w:val="22"/>
          <w:szCs w:val="22"/>
        </w:rPr>
      </w:pPr>
      <w:r w:rsidRPr="008875AD">
        <w:rPr>
          <w:rFonts w:ascii="Arial" w:hAnsi="Arial" w:cs="Arial"/>
          <w:bCs/>
          <w:iCs/>
          <w:sz w:val="22"/>
          <w:szCs w:val="22"/>
        </w:rPr>
        <w:t>Průběh hlavních procesů je nastaven platnou legislativou. Prostor pro změnu je tak velice omezený až nulový. Z tohoto důvodu se studie nezabývala změnami a úsporami v hlavních procesech.</w:t>
      </w:r>
    </w:p>
    <w:p w:rsidR="00E03962" w:rsidRPr="008875AD" w:rsidRDefault="00E03962" w:rsidP="008875AD">
      <w:pPr>
        <w:jc w:val="both"/>
        <w:rPr>
          <w:rFonts w:ascii="Arial" w:hAnsi="Arial" w:cs="Arial"/>
          <w:bCs/>
          <w:iCs/>
          <w:sz w:val="22"/>
          <w:szCs w:val="22"/>
        </w:rPr>
      </w:pPr>
      <w:r w:rsidRPr="00E56C31">
        <w:rPr>
          <w:rFonts w:ascii="Arial" w:hAnsi="Arial" w:cs="Arial"/>
          <w:bCs/>
          <w:iCs/>
          <w:sz w:val="22"/>
          <w:szCs w:val="22"/>
        </w:rPr>
        <w:t xml:space="preserve">Vyhodnocení projektu Modernizace CS </w:t>
      </w:r>
      <w:r w:rsidR="00AF0494">
        <w:rPr>
          <w:rFonts w:ascii="Arial" w:hAnsi="Arial" w:cs="Arial"/>
          <w:bCs/>
          <w:iCs/>
          <w:sz w:val="22"/>
          <w:szCs w:val="22"/>
        </w:rPr>
        <w:t>mělo být zpracováno v roce 2014</w:t>
      </w:r>
      <w:r w:rsidR="00AF0494" w:rsidRPr="00AF0494">
        <w:rPr>
          <w:rFonts w:ascii="Arial" w:hAnsi="Arial" w:cs="Arial"/>
          <w:bCs/>
          <w:iCs/>
          <w:sz w:val="22"/>
          <w:szCs w:val="22"/>
        </w:rPr>
        <w:t>, k čemuž, vlivem rozdílných manažerských priorit vedení GŘC v letech  2014-2016, nedošlo</w:t>
      </w:r>
      <w:r w:rsidR="00AF0494" w:rsidRPr="00AF0494">
        <w:rPr>
          <w:rFonts w:ascii="Arial" w:hAnsi="Arial" w:cs="Arial"/>
          <w:bCs/>
          <w:i/>
          <w:iCs/>
          <w:sz w:val="22"/>
          <w:szCs w:val="22"/>
        </w:rPr>
        <w:t>.</w:t>
      </w:r>
      <w:r w:rsidRPr="00E56C31">
        <w:rPr>
          <w:rFonts w:ascii="Arial" w:hAnsi="Arial" w:cs="Arial"/>
          <w:bCs/>
          <w:iCs/>
          <w:sz w:val="22"/>
          <w:szCs w:val="22"/>
        </w:rPr>
        <w:t xml:space="preserve"> Současný generální ředitel již vyhodnocení nepožadoval, vzhledem ke značnému časovému odstupu a</w:t>
      </w:r>
      <w:r w:rsidR="00AF0494">
        <w:rPr>
          <w:rFonts w:ascii="Arial" w:hAnsi="Arial" w:cs="Arial"/>
          <w:bCs/>
          <w:iCs/>
          <w:sz w:val="22"/>
          <w:szCs w:val="22"/>
        </w:rPr>
        <w:t> </w:t>
      </w:r>
      <w:r w:rsidRPr="00E56C31">
        <w:rPr>
          <w:rFonts w:ascii="Arial" w:hAnsi="Arial" w:cs="Arial"/>
          <w:bCs/>
          <w:iCs/>
          <w:sz w:val="22"/>
          <w:szCs w:val="22"/>
        </w:rPr>
        <w:t>množství provedených organizačních změn od ukončení projektu Modernizace CS.</w:t>
      </w:r>
    </w:p>
    <w:p w:rsidR="00E03962" w:rsidRPr="008875AD" w:rsidRDefault="00E03962" w:rsidP="008875AD">
      <w:pPr>
        <w:jc w:val="both"/>
        <w:rPr>
          <w:rFonts w:ascii="Arial" w:hAnsi="Arial" w:cs="Arial"/>
          <w:bCs/>
          <w:iCs/>
          <w:sz w:val="22"/>
          <w:szCs w:val="22"/>
        </w:rPr>
      </w:pPr>
      <w:r w:rsidRPr="008875AD">
        <w:rPr>
          <w:rFonts w:ascii="Arial" w:hAnsi="Arial" w:cs="Arial"/>
          <w:bCs/>
          <w:iCs/>
          <w:sz w:val="22"/>
          <w:szCs w:val="22"/>
        </w:rPr>
        <w:t>K provedeným změnám v podpůrných procesech před přechodem na dvoustupňovou organizační strukturu uvádíme, že se jednalo o záměrné rozdělení organizačních změn do dvou kroků. V prvním bylo změněno organizační uspořádání podpůrných procesů. K této změně nebyla nutná opora v legislativě a mohla být provedena dříve, než organizační změny v hlavních procesech. Jednoznačným přínosem této změny bylo, že pracovníci v podpůrných procesech se mohli plně věnovat zajištění chodu hlavních procesů v období přechodu na dvoustupňovou organizační strukturu.</w:t>
      </w:r>
    </w:p>
    <w:p w:rsidR="006E3C49" w:rsidRDefault="00E03962" w:rsidP="00E03962">
      <w:pPr>
        <w:jc w:val="both"/>
        <w:rPr>
          <w:rFonts w:ascii="Arial" w:hAnsi="Arial" w:cs="Arial"/>
          <w:bCs/>
          <w:iCs/>
          <w:sz w:val="22"/>
          <w:szCs w:val="22"/>
        </w:rPr>
      </w:pPr>
      <w:r w:rsidRPr="008875AD">
        <w:rPr>
          <w:rFonts w:ascii="Arial" w:hAnsi="Arial" w:cs="Arial"/>
          <w:bCs/>
          <w:iCs/>
          <w:sz w:val="22"/>
          <w:szCs w:val="22"/>
        </w:rPr>
        <w:t>Počet míst výkonu zůstal nezměněný, ale změnil se rozsah vykonávaných činností. Došlo k centralizaci vybraných činností (např. nákupy již nebyly prováděny na regionální úrovni) a</w:t>
      </w:r>
      <w:r w:rsidR="00DD5DD5">
        <w:rPr>
          <w:rFonts w:ascii="Arial" w:hAnsi="Arial" w:cs="Arial"/>
          <w:bCs/>
          <w:iCs/>
          <w:sz w:val="22"/>
          <w:szCs w:val="22"/>
        </w:rPr>
        <w:t> </w:t>
      </w:r>
      <w:r w:rsidRPr="008875AD">
        <w:rPr>
          <w:rFonts w:ascii="Arial" w:hAnsi="Arial" w:cs="Arial"/>
          <w:bCs/>
          <w:iCs/>
          <w:sz w:val="22"/>
          <w:szCs w:val="22"/>
        </w:rPr>
        <w:t>detašovaná oddělení v regionech poskytují přímou podporu celním úřadům, které podpůrné procesy fakticky nevykonávají a uvolnily se jim kapacity na vlastní výkon hlavních procesů</w:t>
      </w:r>
      <w:r w:rsidR="00B722D5" w:rsidRPr="00B722D5">
        <w:rPr>
          <w:rFonts w:ascii="Arial" w:hAnsi="Arial" w:cs="Arial"/>
          <w:bCs/>
          <w:iCs/>
          <w:sz w:val="22"/>
          <w:szCs w:val="22"/>
        </w:rPr>
        <w:t>.</w:t>
      </w:r>
    </w:p>
    <w:p w:rsidR="00B722D5" w:rsidRPr="006E3C49" w:rsidRDefault="00B722D5" w:rsidP="006E3C49">
      <w:pPr>
        <w:jc w:val="both"/>
        <w:rPr>
          <w:rFonts w:ascii="Arial" w:hAnsi="Arial" w:cs="Arial"/>
          <w:bCs/>
          <w:iCs/>
          <w:sz w:val="22"/>
          <w:szCs w:val="22"/>
        </w:rPr>
      </w:pPr>
    </w:p>
    <w:p w:rsidR="006E3C49" w:rsidRPr="006E3C49" w:rsidRDefault="006E3C49" w:rsidP="006E3C49">
      <w:pPr>
        <w:jc w:val="both"/>
        <w:rPr>
          <w:rFonts w:ascii="Arial" w:hAnsi="Arial" w:cs="Arial"/>
          <w:bCs/>
          <w:iCs/>
          <w:sz w:val="22"/>
          <w:szCs w:val="22"/>
        </w:rPr>
      </w:pPr>
      <w:r w:rsidRPr="006E3C49">
        <w:rPr>
          <w:rFonts w:ascii="Arial" w:hAnsi="Arial" w:cs="Arial"/>
          <w:bCs/>
          <w:iCs/>
          <w:sz w:val="22"/>
          <w:szCs w:val="22"/>
          <w:u w:val="single"/>
        </w:rPr>
        <w:t>Opatření GŘC:</w:t>
      </w:r>
    </w:p>
    <w:p w:rsidR="002C6333" w:rsidRPr="002C6333" w:rsidRDefault="002C6333" w:rsidP="002C6333">
      <w:pPr>
        <w:jc w:val="both"/>
        <w:rPr>
          <w:rFonts w:ascii="Arial" w:hAnsi="Arial" w:cs="Arial"/>
          <w:bCs/>
          <w:iCs/>
          <w:sz w:val="22"/>
          <w:szCs w:val="22"/>
        </w:rPr>
      </w:pPr>
      <w:r w:rsidRPr="002C6333">
        <w:rPr>
          <w:rFonts w:ascii="Arial" w:hAnsi="Arial" w:cs="Arial"/>
          <w:bCs/>
          <w:iCs/>
          <w:sz w:val="22"/>
          <w:szCs w:val="22"/>
        </w:rPr>
        <w:t>Vzhledem ke stanovisku GŘC opatření nepřijímá.</w:t>
      </w:r>
    </w:p>
    <w:p w:rsidR="006E3C49" w:rsidRDefault="00B722D5" w:rsidP="00B722D5">
      <w:pPr>
        <w:jc w:val="both"/>
        <w:rPr>
          <w:rFonts w:ascii="Arial" w:hAnsi="Arial" w:cs="Arial"/>
          <w:bCs/>
          <w:iCs/>
          <w:sz w:val="22"/>
          <w:szCs w:val="22"/>
        </w:rPr>
      </w:pPr>
      <w:r w:rsidRPr="00B722D5">
        <w:rPr>
          <w:rFonts w:ascii="Arial" w:hAnsi="Arial" w:cs="Arial"/>
          <w:bCs/>
          <w:iCs/>
          <w:sz w:val="22"/>
          <w:szCs w:val="22"/>
        </w:rPr>
        <w:t>Projekt ukončen v roce 2013.</w:t>
      </w:r>
    </w:p>
    <w:p w:rsidR="00B722D5" w:rsidRPr="006E3C49" w:rsidRDefault="00B722D5" w:rsidP="006E3C49">
      <w:pPr>
        <w:jc w:val="both"/>
        <w:rPr>
          <w:rFonts w:ascii="Arial" w:hAnsi="Arial" w:cs="Arial"/>
          <w:bCs/>
          <w:iCs/>
          <w:sz w:val="22"/>
          <w:szCs w:val="22"/>
        </w:rPr>
      </w:pPr>
    </w:p>
    <w:p w:rsidR="006E3C49" w:rsidRDefault="006E3C49" w:rsidP="006E3C49">
      <w:pPr>
        <w:jc w:val="both"/>
        <w:rPr>
          <w:rFonts w:ascii="Arial" w:hAnsi="Arial" w:cs="Arial"/>
          <w:bCs/>
          <w:sz w:val="22"/>
          <w:szCs w:val="22"/>
        </w:rPr>
      </w:pPr>
    </w:p>
    <w:p w:rsidR="006E3C49" w:rsidRPr="006E3C49" w:rsidRDefault="006E3C49" w:rsidP="006E3C49">
      <w:pPr>
        <w:jc w:val="both"/>
        <w:rPr>
          <w:rFonts w:ascii="Arial" w:hAnsi="Arial" w:cs="Arial"/>
          <w:b/>
          <w:bCs/>
          <w:sz w:val="22"/>
          <w:szCs w:val="22"/>
        </w:rPr>
      </w:pPr>
      <w:r w:rsidRPr="006E3C49">
        <w:rPr>
          <w:rFonts w:ascii="Arial" w:hAnsi="Arial" w:cs="Arial"/>
          <w:b/>
          <w:bCs/>
          <w:sz w:val="22"/>
          <w:szCs w:val="22"/>
        </w:rPr>
        <w:t>3. Personalistika a struktura CS ČR</w:t>
      </w:r>
    </w:p>
    <w:p w:rsidR="006E3C49" w:rsidRPr="006E3C49" w:rsidRDefault="006E3C49" w:rsidP="006E3C49">
      <w:pPr>
        <w:jc w:val="both"/>
        <w:rPr>
          <w:rFonts w:ascii="Arial" w:hAnsi="Arial" w:cs="Arial"/>
          <w:bCs/>
          <w:sz w:val="22"/>
          <w:szCs w:val="22"/>
        </w:rPr>
      </w:pPr>
      <w:r>
        <w:rPr>
          <w:rFonts w:ascii="Arial" w:hAnsi="Arial" w:cs="Arial"/>
          <w:bCs/>
          <w:sz w:val="22"/>
          <w:szCs w:val="22"/>
        </w:rPr>
        <w:t xml:space="preserve">    </w:t>
      </w:r>
      <w:r w:rsidRPr="006E3C49">
        <w:rPr>
          <w:rFonts w:ascii="Arial" w:hAnsi="Arial" w:cs="Arial"/>
          <w:bCs/>
          <w:sz w:val="22"/>
          <w:szCs w:val="22"/>
        </w:rPr>
        <w:t>(str. 14 Kontrolního závěru)</w:t>
      </w:r>
    </w:p>
    <w:p w:rsidR="006E3C49" w:rsidRDefault="006E3C49" w:rsidP="006E3C49">
      <w:pPr>
        <w:jc w:val="both"/>
        <w:rPr>
          <w:rFonts w:ascii="Arial" w:hAnsi="Arial" w:cs="Arial"/>
          <w:bCs/>
          <w:sz w:val="22"/>
          <w:szCs w:val="22"/>
        </w:rPr>
      </w:pPr>
    </w:p>
    <w:p w:rsidR="006E3C49" w:rsidRPr="006E3C49" w:rsidRDefault="006E3C49" w:rsidP="006E3C49">
      <w:pPr>
        <w:jc w:val="both"/>
        <w:rPr>
          <w:rFonts w:ascii="Arial" w:hAnsi="Arial" w:cs="Arial"/>
          <w:bCs/>
          <w:i/>
          <w:iCs/>
          <w:sz w:val="22"/>
          <w:szCs w:val="22"/>
          <w:u w:val="single"/>
        </w:rPr>
      </w:pPr>
      <w:r w:rsidRPr="006E3C49">
        <w:rPr>
          <w:rFonts w:ascii="Arial" w:hAnsi="Arial" w:cs="Arial"/>
          <w:bCs/>
          <w:i/>
          <w:iCs/>
          <w:sz w:val="22"/>
          <w:szCs w:val="22"/>
          <w:u w:val="single"/>
        </w:rPr>
        <w:t>Zjištění NKÚ:</w:t>
      </w:r>
    </w:p>
    <w:p w:rsidR="006E3C49" w:rsidRPr="006E3C49" w:rsidRDefault="006E3C49" w:rsidP="006E3C49">
      <w:pPr>
        <w:jc w:val="both"/>
        <w:rPr>
          <w:rFonts w:ascii="Arial" w:hAnsi="Arial" w:cs="Arial"/>
          <w:bCs/>
          <w:i/>
          <w:sz w:val="22"/>
          <w:szCs w:val="22"/>
        </w:rPr>
      </w:pPr>
      <w:r>
        <w:rPr>
          <w:rFonts w:ascii="Arial" w:hAnsi="Arial" w:cs="Arial"/>
          <w:bCs/>
          <w:i/>
          <w:sz w:val="22"/>
          <w:szCs w:val="22"/>
        </w:rPr>
        <w:t>„</w:t>
      </w:r>
      <w:r w:rsidRPr="006E3C49">
        <w:rPr>
          <w:rFonts w:ascii="Arial" w:hAnsi="Arial" w:cs="Arial"/>
          <w:bCs/>
          <w:i/>
          <w:sz w:val="22"/>
          <w:szCs w:val="22"/>
        </w:rPr>
        <w:t>Přechod na novou organizační strukturu byl odůvodňován potřebou flexibilního zřizování a</w:t>
      </w:r>
      <w:r w:rsidR="002C6333">
        <w:rPr>
          <w:rFonts w:ascii="Arial" w:hAnsi="Arial" w:cs="Arial"/>
          <w:bCs/>
          <w:i/>
          <w:sz w:val="22"/>
          <w:szCs w:val="22"/>
        </w:rPr>
        <w:t> </w:t>
      </w:r>
      <w:r w:rsidRPr="006E3C49">
        <w:rPr>
          <w:rFonts w:ascii="Arial" w:hAnsi="Arial" w:cs="Arial"/>
          <w:bCs/>
          <w:i/>
          <w:sz w:val="22"/>
          <w:szCs w:val="22"/>
        </w:rPr>
        <w:t>rušení vnitřních organizačních jednotek CS ČR, potřebou zjednodušení a zefektivnění struktury řízení. Generální ředitel GŘC i před modernizací CS ČR schvaloval organizační řád a měl oprávnění zřizovat útvary na GŘC, CŘ a CÚ a také zřizovat a rušit pobočky CÚ. Výhodou nového zákona je, že MF může optimalizovat rozmístění výkonu služby CS ČR ve</w:t>
      </w:r>
      <w:r w:rsidR="002C6333">
        <w:rPr>
          <w:rFonts w:ascii="Arial" w:hAnsi="Arial" w:cs="Arial"/>
          <w:bCs/>
          <w:i/>
          <w:sz w:val="22"/>
          <w:szCs w:val="22"/>
        </w:rPr>
        <w:t> </w:t>
      </w:r>
      <w:r w:rsidRPr="006E3C49">
        <w:rPr>
          <w:rFonts w:ascii="Arial" w:hAnsi="Arial" w:cs="Arial"/>
          <w:bCs/>
          <w:i/>
          <w:sz w:val="22"/>
          <w:szCs w:val="22"/>
        </w:rPr>
        <w:t>větším rozsahu, neboť „nové“ CÚ mají výrazně širší místní působnost v rozsahu kraje, a</w:t>
      </w:r>
      <w:r w:rsidR="002C6333">
        <w:rPr>
          <w:rFonts w:ascii="Arial" w:hAnsi="Arial" w:cs="Arial"/>
          <w:bCs/>
          <w:i/>
          <w:sz w:val="22"/>
          <w:szCs w:val="22"/>
        </w:rPr>
        <w:t> </w:t>
      </w:r>
      <w:r w:rsidRPr="006E3C49">
        <w:rPr>
          <w:rFonts w:ascii="Arial" w:hAnsi="Arial" w:cs="Arial"/>
          <w:bCs/>
          <w:i/>
          <w:sz w:val="22"/>
          <w:szCs w:val="22"/>
        </w:rPr>
        <w:t>územní pracoviště může rušit a zřizovat vyhláškou.</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 xml:space="preserve">Výkon hlavních procesů zajišťují celníci ve služebním poměru podle zákona o služebním poměru příslušníků bezpečnostních sborů. Možnost snížit počty těchto příslušníků je jen velmi omezená, od roku 2012 k žádné změně v systemizaci celníků nedošlo. Počet systemizovaných míst se u CS ČR mezi roky 2012 až 2015 snížil o 13 civilních zaměstnanců, tj. minimálně oproti očekávaným 403 dle studie proveditelnosti.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Mezi roky 2011–2015 došlo k celkovému snížení počtu systemizovaných míst u CS ČR o</w:t>
      </w:r>
      <w:r w:rsidR="002C6333">
        <w:rPr>
          <w:rFonts w:ascii="Arial" w:hAnsi="Arial" w:cs="Arial"/>
          <w:bCs/>
          <w:i/>
          <w:sz w:val="22"/>
          <w:szCs w:val="22"/>
        </w:rPr>
        <w:t> </w:t>
      </w:r>
      <w:r w:rsidRPr="006E3C49">
        <w:rPr>
          <w:rFonts w:ascii="Arial" w:hAnsi="Arial" w:cs="Arial"/>
          <w:bCs/>
          <w:i/>
          <w:sz w:val="22"/>
          <w:szCs w:val="22"/>
        </w:rPr>
        <w:t>158, šlo zejména o místa celníků, přičemž 16 míst bylo převedeno na jiné organizační složky státu a 140 zaniklo v důsledku usnesení vlády ČR, tj. nejednalo se o úsporu vyvolanou realizací projektu modernizace CS ČR.</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 xml:space="preserve">Správu SPED do 31. 12. 2012 vykonávalo GŘC, osm CŘ a 58 oddělení CÚ (včetně poboček), tj. celkem 67 odborů a oddělení. Aktuálně (stav k 1. 1. 2016) vykonávají správu SPED útvary daní GŘC a 51 oddělení na CÚ a jejich územních pracovištích, dále osm pracovišť Právního odboru GŘC a útvary CÚ zajišťující mobilní dohled, tj. cca 60 míst.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Počet systemizovaných míst se na daňových útvarech CÚ snížil o 54 míst. Snížení počtu míst souviselo s tím, že uvnitř CÚ došlo k převodu povolovací činnosti na útvary právních a</w:t>
      </w:r>
      <w:r w:rsidR="002C6333">
        <w:rPr>
          <w:rFonts w:ascii="Arial" w:hAnsi="Arial" w:cs="Arial"/>
          <w:bCs/>
          <w:i/>
          <w:sz w:val="22"/>
          <w:szCs w:val="22"/>
        </w:rPr>
        <w:t> </w:t>
      </w:r>
      <w:r w:rsidRPr="006E3C49">
        <w:rPr>
          <w:rFonts w:ascii="Arial" w:hAnsi="Arial" w:cs="Arial"/>
          <w:bCs/>
          <w:i/>
          <w:sz w:val="22"/>
          <w:szCs w:val="22"/>
        </w:rPr>
        <w:t>správních činností, kde v roce 2015 proces vydávání povolení a proces řízení o zajištění v.</w:t>
      </w:r>
      <w:r w:rsidR="002C6333">
        <w:rPr>
          <w:rFonts w:ascii="Arial" w:hAnsi="Arial" w:cs="Arial"/>
          <w:bCs/>
          <w:i/>
          <w:sz w:val="22"/>
          <w:szCs w:val="22"/>
        </w:rPr>
        <w:t> </w:t>
      </w:r>
      <w:r w:rsidRPr="006E3C49">
        <w:rPr>
          <w:rFonts w:ascii="Arial" w:hAnsi="Arial" w:cs="Arial"/>
          <w:bCs/>
          <w:i/>
          <w:sz w:val="22"/>
          <w:szCs w:val="22"/>
        </w:rPr>
        <w:t xml:space="preserve">v. a dopravních prostředků zajišťovalo dle FTE 45 pracovníků (47 systemizovaných míst).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 xml:space="preserve">Průměrné rozpětí řízení se na GŘC (z hlediska systemizovaných míst i evidenčního stavu zaměstnanců) v roce 2012 oproti roku 2011 zvýšilo (o cca 1 až 2 osoby na jednoho vedoucího zaměstnance). Toto rozpětí se do roku 2015 měnilo jen minimálně. Cílový stav na GŘC uvedený ve studii proveditelnosti byl naplněn již před realizací projektu modernizace CS ČR. </w:t>
      </w:r>
    </w:p>
    <w:p w:rsidR="006E3C49" w:rsidRPr="006E3C49" w:rsidRDefault="006E3C49" w:rsidP="006E3C49">
      <w:pPr>
        <w:jc w:val="both"/>
        <w:rPr>
          <w:rFonts w:ascii="Arial" w:hAnsi="Arial" w:cs="Arial"/>
          <w:bCs/>
          <w:i/>
          <w:sz w:val="22"/>
          <w:szCs w:val="22"/>
        </w:rPr>
      </w:pPr>
      <w:r w:rsidRPr="006E3C49">
        <w:rPr>
          <w:rFonts w:ascii="Arial" w:hAnsi="Arial" w:cs="Arial"/>
          <w:bCs/>
          <w:i/>
          <w:sz w:val="22"/>
          <w:szCs w:val="22"/>
        </w:rPr>
        <w:t>Oproti předpokladu uvedenému ve studii proveditelnosti zůstalo průměrné rozpětí řízení u</w:t>
      </w:r>
      <w:r w:rsidR="002C6333">
        <w:rPr>
          <w:rFonts w:ascii="Arial" w:hAnsi="Arial" w:cs="Arial"/>
          <w:bCs/>
          <w:i/>
          <w:sz w:val="22"/>
          <w:szCs w:val="22"/>
        </w:rPr>
        <w:t> </w:t>
      </w:r>
      <w:r w:rsidRPr="006E3C49">
        <w:rPr>
          <w:rFonts w:ascii="Arial" w:hAnsi="Arial" w:cs="Arial"/>
          <w:bCs/>
          <w:i/>
          <w:sz w:val="22"/>
          <w:szCs w:val="22"/>
        </w:rPr>
        <w:t>CŘ, resp. CÚ (z hlediska systemizovaných míst i evidenčního stavu zaměstnanců) v</w:t>
      </w:r>
      <w:r w:rsidR="00DD5DD5">
        <w:rPr>
          <w:rFonts w:ascii="Arial" w:hAnsi="Arial" w:cs="Arial"/>
          <w:bCs/>
          <w:i/>
          <w:sz w:val="22"/>
          <w:szCs w:val="22"/>
        </w:rPr>
        <w:t> </w:t>
      </w:r>
      <w:r w:rsidRPr="006E3C49">
        <w:rPr>
          <w:rFonts w:ascii="Arial" w:hAnsi="Arial" w:cs="Arial"/>
          <w:bCs/>
          <w:i/>
          <w:sz w:val="22"/>
          <w:szCs w:val="22"/>
        </w:rPr>
        <w:t xml:space="preserve">průběhu let 2011 až 2015 na stejné úrovni jako před modernizací CS ČR, tj. cca 1 : 9. Nedosáhlo tedy rozpětí předpokládaného pro dvoustupňovou strukturu (tj. 1 : 10 až 1 : 20). </w:t>
      </w:r>
    </w:p>
    <w:p w:rsidR="006E3C49" w:rsidRPr="00CC2666" w:rsidRDefault="006E3C49" w:rsidP="006E3C49">
      <w:pPr>
        <w:jc w:val="both"/>
        <w:rPr>
          <w:rFonts w:ascii="Arial" w:hAnsi="Arial" w:cs="Arial"/>
          <w:b/>
          <w:bCs/>
          <w:i/>
          <w:sz w:val="22"/>
          <w:szCs w:val="22"/>
        </w:rPr>
      </w:pPr>
      <w:r w:rsidRPr="00CC2666">
        <w:rPr>
          <w:rFonts w:ascii="Arial" w:hAnsi="Arial" w:cs="Arial"/>
          <w:b/>
          <w:bCs/>
          <w:i/>
          <w:sz w:val="22"/>
          <w:szCs w:val="22"/>
        </w:rPr>
        <w:t xml:space="preserve">NKÚ vyhodnotil, že k zásadním změnám průběhu procesů, zmenšení organizační struktury, snížení personálních zdrojů a zvýšení efektivity procesů nedošlo. </w:t>
      </w:r>
    </w:p>
    <w:p w:rsidR="006E3C49" w:rsidRDefault="006E3C49" w:rsidP="006E3C49">
      <w:pPr>
        <w:jc w:val="both"/>
        <w:rPr>
          <w:rFonts w:ascii="Arial" w:hAnsi="Arial" w:cs="Arial"/>
          <w:bCs/>
          <w:i/>
          <w:sz w:val="22"/>
          <w:szCs w:val="22"/>
        </w:rPr>
      </w:pPr>
      <w:r w:rsidRPr="006E3C49">
        <w:rPr>
          <w:rFonts w:ascii="Arial" w:hAnsi="Arial" w:cs="Arial"/>
          <w:bCs/>
          <w:i/>
          <w:sz w:val="22"/>
          <w:szCs w:val="22"/>
        </w:rPr>
        <w:t>Jedním z cílů reorganizace CS ČR bylo vytvoření obdobného modelu organizačního uspořádání, jaké mají jiné organizace státní správy, zejména FS ČR. Ke sblížení organizací došlo transformací CŘ a CÚ na nové CÚ v sídlech krajů (14 + 1) obdobně, jak je tomu u FS ČR. Rozdílem je existence Odvolacího finančního ředitelství, které je nejblíže nadřízeným orgánem finančních úřadů. V podmínkách CS ČR o opravných prostředcích rozhoduje útvar GŘC, který zajišťuje i metodické řízení pro vydávání povolení. Povolovací řízení a registrační řízení podle zákona o spotřebních daních a zákona o povinném značení lihu jsou svým obsahem obdobná řízení, u kterých však řízení vedou odlišné útvary CÚ (oddělení právních a správních činností a oddělení daní). Daňová oddělení se z důvodu znalosti daňových subjektů podílí i na povolovacím řízení.</w:t>
      </w:r>
      <w:r>
        <w:rPr>
          <w:rFonts w:ascii="Arial" w:hAnsi="Arial" w:cs="Arial"/>
          <w:bCs/>
          <w:i/>
          <w:sz w:val="22"/>
          <w:szCs w:val="22"/>
        </w:rPr>
        <w:t>“</w:t>
      </w:r>
    </w:p>
    <w:p w:rsidR="006E3C49" w:rsidRDefault="006E3C49" w:rsidP="006E3C49">
      <w:pPr>
        <w:jc w:val="both"/>
        <w:rPr>
          <w:rFonts w:ascii="Arial" w:hAnsi="Arial" w:cs="Arial"/>
          <w:bCs/>
          <w:i/>
          <w:sz w:val="22"/>
          <w:szCs w:val="22"/>
        </w:rPr>
      </w:pPr>
    </w:p>
    <w:p w:rsidR="006E3C49" w:rsidRPr="006E3C49" w:rsidRDefault="006E3C49" w:rsidP="006E3C49">
      <w:pPr>
        <w:jc w:val="both"/>
        <w:rPr>
          <w:rFonts w:ascii="Arial" w:hAnsi="Arial" w:cs="Arial"/>
          <w:bCs/>
          <w:iCs/>
          <w:sz w:val="22"/>
          <w:szCs w:val="22"/>
          <w:u w:val="single"/>
        </w:rPr>
      </w:pPr>
      <w:r w:rsidRPr="006E3C49">
        <w:rPr>
          <w:rFonts w:ascii="Arial" w:hAnsi="Arial" w:cs="Arial"/>
          <w:bCs/>
          <w:iCs/>
          <w:sz w:val="22"/>
          <w:szCs w:val="22"/>
          <w:u w:val="single"/>
        </w:rPr>
        <w:t>Stanovisko GŘC:</w:t>
      </w:r>
    </w:p>
    <w:p w:rsidR="009F6D04" w:rsidRPr="008875AD" w:rsidRDefault="00BA6424" w:rsidP="008875AD">
      <w:pPr>
        <w:jc w:val="both"/>
        <w:rPr>
          <w:rFonts w:ascii="Arial" w:hAnsi="Arial" w:cs="Arial"/>
          <w:bCs/>
          <w:iCs/>
          <w:sz w:val="22"/>
          <w:szCs w:val="22"/>
        </w:rPr>
      </w:pPr>
      <w:r w:rsidRPr="00BA6424">
        <w:rPr>
          <w:rFonts w:ascii="Arial" w:hAnsi="Arial" w:cs="Arial"/>
          <w:bCs/>
          <w:iCs/>
          <w:sz w:val="22"/>
          <w:szCs w:val="22"/>
        </w:rPr>
        <w:t xml:space="preserve">V roce 2014 byla jmenována </w:t>
      </w:r>
      <w:r w:rsidR="006B77AD">
        <w:rPr>
          <w:rFonts w:ascii="Arial" w:hAnsi="Arial" w:cs="Arial"/>
          <w:bCs/>
          <w:iCs/>
          <w:sz w:val="22"/>
          <w:szCs w:val="22"/>
        </w:rPr>
        <w:t xml:space="preserve">současná </w:t>
      </w:r>
      <w:r w:rsidRPr="00BA6424">
        <w:rPr>
          <w:rFonts w:ascii="Arial" w:hAnsi="Arial" w:cs="Arial"/>
          <w:bCs/>
          <w:iCs/>
          <w:sz w:val="22"/>
          <w:szCs w:val="22"/>
        </w:rPr>
        <w:t>vláda a zahájeny přípravy na rozšíření kompetencí CS ČR v oblasti pátrání a o kontrolu hazardních her a elektronické evidence tržeb. V </w:t>
      </w:r>
      <w:r w:rsidR="006B77AD">
        <w:rPr>
          <w:rFonts w:ascii="Arial" w:hAnsi="Arial" w:cs="Arial"/>
          <w:bCs/>
          <w:iCs/>
          <w:sz w:val="22"/>
          <w:szCs w:val="22"/>
        </w:rPr>
        <w:t>témže</w:t>
      </w:r>
      <w:r w:rsidRPr="00BA6424">
        <w:rPr>
          <w:rFonts w:ascii="Arial" w:hAnsi="Arial" w:cs="Arial"/>
          <w:bCs/>
          <w:iCs/>
          <w:sz w:val="22"/>
          <w:szCs w:val="22"/>
        </w:rPr>
        <w:t xml:space="preserve"> roce se objevují první příznaky migrační krize</w:t>
      </w:r>
      <w:r w:rsidR="006B77AD">
        <w:rPr>
          <w:rFonts w:ascii="Arial" w:hAnsi="Arial" w:cs="Arial"/>
          <w:bCs/>
          <w:iCs/>
          <w:sz w:val="22"/>
          <w:szCs w:val="22"/>
        </w:rPr>
        <w:t>, kdy nebylo zcela možné predikovat, jak zasáhne ČR</w:t>
      </w:r>
      <w:r w:rsidRPr="00BA6424">
        <w:rPr>
          <w:rFonts w:ascii="Arial" w:hAnsi="Arial" w:cs="Arial"/>
          <w:bCs/>
          <w:iCs/>
          <w:sz w:val="22"/>
          <w:szCs w:val="22"/>
        </w:rPr>
        <w:t>.</w:t>
      </w:r>
      <w:r w:rsidR="006B77AD">
        <w:rPr>
          <w:rFonts w:ascii="Arial" w:hAnsi="Arial" w:cs="Arial"/>
          <w:bCs/>
          <w:iCs/>
          <w:sz w:val="22"/>
          <w:szCs w:val="22"/>
        </w:rPr>
        <w:t xml:space="preserve"> </w:t>
      </w:r>
      <w:r w:rsidR="009F6D04" w:rsidRPr="008875AD">
        <w:rPr>
          <w:rFonts w:ascii="Arial" w:hAnsi="Arial" w:cs="Arial"/>
          <w:bCs/>
          <w:iCs/>
          <w:sz w:val="22"/>
          <w:szCs w:val="22"/>
        </w:rPr>
        <w:t>V této situaci by snižování počtu příslušníků CS ČR bylo zcela kontraproduktivní. V současné době jsou počty příslušníků navyšovány o stovky příslušníků a nenaplnění očekávání uvedených ve Studii proveditelnosti se tak jeví spíše jako klad. To</w:t>
      </w:r>
      <w:r w:rsidR="00DD5DD5">
        <w:rPr>
          <w:rFonts w:ascii="Arial" w:hAnsi="Arial" w:cs="Arial"/>
          <w:bCs/>
          <w:iCs/>
          <w:sz w:val="22"/>
          <w:szCs w:val="22"/>
        </w:rPr>
        <w:t> </w:t>
      </w:r>
      <w:r w:rsidR="009F6D04" w:rsidRPr="008875AD">
        <w:rPr>
          <w:rFonts w:ascii="Arial" w:hAnsi="Arial" w:cs="Arial"/>
          <w:bCs/>
          <w:iCs/>
          <w:sz w:val="22"/>
          <w:szCs w:val="22"/>
        </w:rPr>
        <w:t>se týká i občanských zaměstnanců, protože jejich počet je závislý na počtu příslušníků. Navíc jsou na ně v období zvyšování počtu příslušníků kladeny vyšší nároky než při běžném provozu.</w:t>
      </w:r>
    </w:p>
    <w:p w:rsidR="009F6D04" w:rsidRPr="008875AD" w:rsidRDefault="006B77AD" w:rsidP="008875AD">
      <w:pPr>
        <w:jc w:val="both"/>
        <w:rPr>
          <w:rFonts w:ascii="Arial" w:hAnsi="Arial" w:cs="Arial"/>
          <w:bCs/>
          <w:iCs/>
          <w:sz w:val="22"/>
          <w:szCs w:val="22"/>
        </w:rPr>
      </w:pPr>
      <w:r w:rsidRPr="006B77AD">
        <w:rPr>
          <w:rFonts w:ascii="Arial" w:hAnsi="Arial" w:cs="Arial"/>
          <w:bCs/>
          <w:iCs/>
          <w:sz w:val="22"/>
          <w:szCs w:val="22"/>
        </w:rPr>
        <w:t xml:space="preserve">Autoři Studie proveditelnosti vycházeli z obecných teorií řízení, vlastních zkušeností a návrh organizačního uspořádání 8 + 1 CÚ byl determinován ekonomickými ukazateli. </w:t>
      </w:r>
      <w:r w:rsidR="009F6D04" w:rsidRPr="008875AD">
        <w:rPr>
          <w:rFonts w:ascii="Arial" w:hAnsi="Arial" w:cs="Arial"/>
          <w:bCs/>
          <w:iCs/>
          <w:sz w:val="22"/>
          <w:szCs w:val="22"/>
        </w:rPr>
        <w:t>V případě průměrného organizačního rozpětí bylo cílové hodnoty na GŘC dosaženo a na celních úřadech se blíží dolní doporučené hranici. Oddělení, která se blíží horní hranici (1:20) se v praxi ukazují na hranici řiditelnosti.</w:t>
      </w:r>
    </w:p>
    <w:p w:rsidR="009F6D04" w:rsidRPr="008875AD" w:rsidRDefault="0098460A" w:rsidP="008875AD">
      <w:pPr>
        <w:jc w:val="both"/>
        <w:rPr>
          <w:rFonts w:ascii="Arial" w:hAnsi="Arial" w:cs="Arial"/>
          <w:bCs/>
          <w:iCs/>
          <w:sz w:val="22"/>
          <w:szCs w:val="22"/>
        </w:rPr>
      </w:pPr>
      <w:r w:rsidRPr="0098460A">
        <w:rPr>
          <w:rFonts w:ascii="Arial" w:hAnsi="Arial" w:cs="Arial"/>
          <w:bCs/>
          <w:iCs/>
          <w:sz w:val="22"/>
          <w:szCs w:val="22"/>
        </w:rPr>
        <w:t>Zrušení středního článku řízení – celních ředitelství se samo o sobě do řízení CS ČR promítlo např. rychlejším přenosem inf</w:t>
      </w:r>
      <w:r w:rsidR="001C0F81">
        <w:rPr>
          <w:rFonts w:ascii="Arial" w:hAnsi="Arial" w:cs="Arial"/>
          <w:bCs/>
          <w:iCs/>
          <w:sz w:val="22"/>
          <w:szCs w:val="22"/>
        </w:rPr>
        <w:t>ormací, čímž došlo k</w:t>
      </w:r>
      <w:r w:rsidR="00EE4F05">
        <w:rPr>
          <w:rFonts w:ascii="Arial" w:hAnsi="Arial" w:cs="Arial"/>
          <w:bCs/>
          <w:iCs/>
          <w:sz w:val="22"/>
          <w:szCs w:val="22"/>
        </w:rPr>
        <w:t xml:space="preserve"> </w:t>
      </w:r>
      <w:r w:rsidR="001C0F81">
        <w:rPr>
          <w:rFonts w:ascii="Arial" w:hAnsi="Arial" w:cs="Arial"/>
          <w:bCs/>
          <w:iCs/>
          <w:sz w:val="22"/>
          <w:szCs w:val="22"/>
        </w:rPr>
        <w:t>zefektiv</w:t>
      </w:r>
      <w:r w:rsidRPr="0098460A">
        <w:rPr>
          <w:rFonts w:ascii="Arial" w:hAnsi="Arial" w:cs="Arial"/>
          <w:bCs/>
          <w:iCs/>
          <w:sz w:val="22"/>
          <w:szCs w:val="22"/>
        </w:rPr>
        <w:t>nění řízení procesů.</w:t>
      </w:r>
      <w:r w:rsidR="00421310">
        <w:rPr>
          <w:rFonts w:ascii="Arial" w:hAnsi="Arial" w:cs="Arial"/>
          <w:bCs/>
          <w:iCs/>
          <w:sz w:val="22"/>
          <w:szCs w:val="22"/>
        </w:rPr>
        <w:t xml:space="preserve"> </w:t>
      </w:r>
      <w:r w:rsidR="009F6D04" w:rsidRPr="008875AD">
        <w:rPr>
          <w:rFonts w:ascii="Arial" w:hAnsi="Arial" w:cs="Arial"/>
          <w:bCs/>
          <w:iCs/>
          <w:sz w:val="22"/>
          <w:szCs w:val="22"/>
        </w:rPr>
        <w:t>K organizačnímu zařazení útvaru, který zajišťuje odvolací řízení, uvádíme následující.</w:t>
      </w:r>
    </w:p>
    <w:p w:rsidR="009F6D04" w:rsidRPr="008875AD" w:rsidRDefault="009F6D04" w:rsidP="008875AD">
      <w:pPr>
        <w:jc w:val="both"/>
        <w:rPr>
          <w:rFonts w:ascii="Arial" w:hAnsi="Arial" w:cs="Arial"/>
          <w:bCs/>
          <w:iCs/>
          <w:sz w:val="22"/>
          <w:szCs w:val="22"/>
        </w:rPr>
      </w:pPr>
      <w:r w:rsidRPr="008875AD">
        <w:rPr>
          <w:rFonts w:ascii="Arial" w:hAnsi="Arial" w:cs="Arial"/>
          <w:bCs/>
          <w:iCs/>
          <w:sz w:val="22"/>
          <w:szCs w:val="22"/>
        </w:rPr>
        <w:t>NKÚ uvádí, že dvoustupňová struktura Celní správy ČR neodpovídá struktuře reorganizované Finanční správy ČR, což bylo jedním z cílů reorganizace. Předně chceme zdůraznit, že cílem modernizace Celní správy ČR bylo vytvoření dvou organizačně stejně vymezených a obdobně řízených soustav orgánů Finanční správy ČR a Celní správy ČR, k</w:t>
      </w:r>
      <w:r w:rsidR="00DD5DD5">
        <w:rPr>
          <w:rFonts w:ascii="Arial" w:hAnsi="Arial" w:cs="Arial"/>
          <w:bCs/>
          <w:iCs/>
          <w:sz w:val="22"/>
          <w:szCs w:val="22"/>
        </w:rPr>
        <w:t> </w:t>
      </w:r>
      <w:r w:rsidRPr="008875AD">
        <w:rPr>
          <w:rFonts w:ascii="Arial" w:hAnsi="Arial" w:cs="Arial"/>
          <w:bCs/>
          <w:iCs/>
          <w:sz w:val="22"/>
          <w:szCs w:val="22"/>
        </w:rPr>
        <w:t>čemuž došlo přijetím zákona č. 17/2012 Sb., o Celní správě ČR, a zákonem č. 456/2011 Sb., o Finanční správě ČR. K dalšímu však nelze než namítnout, že Celní správa ČR a</w:t>
      </w:r>
      <w:r w:rsidR="00DD5DD5">
        <w:rPr>
          <w:rFonts w:ascii="Arial" w:hAnsi="Arial" w:cs="Arial"/>
          <w:bCs/>
          <w:iCs/>
          <w:sz w:val="22"/>
          <w:szCs w:val="22"/>
        </w:rPr>
        <w:t> </w:t>
      </w:r>
      <w:r w:rsidRPr="008875AD">
        <w:rPr>
          <w:rFonts w:ascii="Arial" w:hAnsi="Arial" w:cs="Arial"/>
          <w:bCs/>
          <w:iCs/>
          <w:sz w:val="22"/>
          <w:szCs w:val="22"/>
        </w:rPr>
        <w:t xml:space="preserve">Finanční správa ČR jsou naprosto odlišné organizace s naprosto obsahově a svým rozsahem odlišnými pravomocemi a působností. Celní správa ČR, na rozdíl od Finanční správy ČR, působí na poli bezpečnostních činností, provádí správní trestání, vykonává značné množství evidenčních a kontrolních činností (např. dálniční známky, mýto, vážení nákladních vozidel, evidence makových polí, nelegální zaměstnanost) a správu cla a daní. Zjištění, že organizační struktura Celní správy ČR neodpovídá struktuře Finanční správy ČR, je proto naprosto správným zjištěním a nemůže se jednat o zjištění negativní. </w:t>
      </w:r>
    </w:p>
    <w:p w:rsidR="00B722D5" w:rsidRPr="006E3C49" w:rsidRDefault="00B722D5" w:rsidP="00B722D5">
      <w:pPr>
        <w:jc w:val="both"/>
        <w:rPr>
          <w:rFonts w:ascii="Arial" w:hAnsi="Arial" w:cs="Arial"/>
          <w:bCs/>
          <w:iCs/>
          <w:sz w:val="22"/>
          <w:szCs w:val="22"/>
        </w:rPr>
      </w:pPr>
    </w:p>
    <w:p w:rsidR="00421310" w:rsidRDefault="00421310" w:rsidP="006E3C49">
      <w:pPr>
        <w:jc w:val="both"/>
        <w:rPr>
          <w:rFonts w:ascii="Arial" w:hAnsi="Arial" w:cs="Arial"/>
          <w:bCs/>
          <w:iCs/>
          <w:sz w:val="22"/>
          <w:szCs w:val="22"/>
          <w:u w:val="single"/>
        </w:rPr>
      </w:pPr>
    </w:p>
    <w:p w:rsidR="006E3C49" w:rsidRPr="006E3C49" w:rsidRDefault="006E3C49" w:rsidP="006E3C49">
      <w:pPr>
        <w:jc w:val="both"/>
        <w:rPr>
          <w:rFonts w:ascii="Arial" w:hAnsi="Arial" w:cs="Arial"/>
          <w:bCs/>
          <w:iCs/>
          <w:sz w:val="22"/>
          <w:szCs w:val="22"/>
        </w:rPr>
      </w:pPr>
      <w:r w:rsidRPr="006E3C49">
        <w:rPr>
          <w:rFonts w:ascii="Arial" w:hAnsi="Arial" w:cs="Arial"/>
          <w:bCs/>
          <w:iCs/>
          <w:sz w:val="22"/>
          <w:szCs w:val="22"/>
          <w:u w:val="single"/>
        </w:rPr>
        <w:t>Opatření GŘC:</w:t>
      </w:r>
    </w:p>
    <w:p w:rsidR="002C6333" w:rsidRPr="002C6333" w:rsidRDefault="002C6333" w:rsidP="002C6333">
      <w:pPr>
        <w:jc w:val="both"/>
        <w:rPr>
          <w:rFonts w:ascii="Arial" w:hAnsi="Arial" w:cs="Arial"/>
          <w:bCs/>
          <w:iCs/>
          <w:sz w:val="22"/>
          <w:szCs w:val="22"/>
        </w:rPr>
      </w:pPr>
      <w:r w:rsidRPr="002C6333">
        <w:rPr>
          <w:rFonts w:ascii="Arial" w:hAnsi="Arial" w:cs="Arial"/>
          <w:bCs/>
          <w:iCs/>
          <w:sz w:val="22"/>
          <w:szCs w:val="22"/>
        </w:rPr>
        <w:t>Vzhledem ke stanovisku GŘC opatření nepřijímá.</w:t>
      </w:r>
    </w:p>
    <w:p w:rsidR="00B722D5" w:rsidRPr="006E3C49" w:rsidRDefault="00B722D5" w:rsidP="006E3C49">
      <w:pPr>
        <w:jc w:val="both"/>
        <w:rPr>
          <w:rFonts w:ascii="Arial" w:hAnsi="Arial" w:cs="Arial"/>
          <w:bCs/>
          <w:iCs/>
          <w:sz w:val="22"/>
          <w:szCs w:val="22"/>
        </w:rPr>
      </w:pPr>
    </w:p>
    <w:p w:rsidR="004644FF" w:rsidRDefault="004644FF">
      <w:pPr>
        <w:spacing w:after="200" w:line="276" w:lineRule="auto"/>
        <w:rPr>
          <w:rFonts w:ascii="Arial" w:hAnsi="Arial" w:cs="Arial"/>
          <w:bCs/>
          <w:sz w:val="22"/>
          <w:szCs w:val="22"/>
        </w:rPr>
      </w:pPr>
      <w:r>
        <w:rPr>
          <w:rFonts w:ascii="Arial" w:hAnsi="Arial" w:cs="Arial"/>
          <w:bCs/>
          <w:sz w:val="22"/>
          <w:szCs w:val="22"/>
        </w:rPr>
        <w:br w:type="page"/>
      </w:r>
    </w:p>
    <w:p w:rsidR="006E3C49" w:rsidRDefault="006E3C49" w:rsidP="006E3C49">
      <w:pPr>
        <w:jc w:val="both"/>
        <w:rPr>
          <w:rFonts w:ascii="Arial" w:hAnsi="Arial" w:cs="Arial"/>
          <w:bCs/>
          <w:sz w:val="22"/>
          <w:szCs w:val="22"/>
        </w:rPr>
      </w:pPr>
    </w:p>
    <w:p w:rsidR="00391766" w:rsidRPr="00391766" w:rsidRDefault="00391766" w:rsidP="00391766">
      <w:pPr>
        <w:jc w:val="both"/>
        <w:rPr>
          <w:rFonts w:ascii="Arial" w:hAnsi="Arial" w:cs="Arial"/>
          <w:b/>
          <w:bCs/>
          <w:sz w:val="22"/>
          <w:szCs w:val="22"/>
        </w:rPr>
      </w:pPr>
      <w:r w:rsidRPr="00391766">
        <w:rPr>
          <w:rFonts w:ascii="Arial" w:hAnsi="Arial" w:cs="Arial"/>
          <w:b/>
          <w:bCs/>
          <w:sz w:val="22"/>
          <w:szCs w:val="22"/>
        </w:rPr>
        <w:t>4. Výdaje CS ČR</w:t>
      </w:r>
    </w:p>
    <w:p w:rsidR="00391766" w:rsidRPr="00391766" w:rsidRDefault="00391766" w:rsidP="00391766">
      <w:pPr>
        <w:jc w:val="both"/>
        <w:rPr>
          <w:rFonts w:ascii="Arial" w:hAnsi="Arial" w:cs="Arial"/>
          <w:bCs/>
          <w:sz w:val="22"/>
          <w:szCs w:val="22"/>
        </w:rPr>
      </w:pPr>
      <w:r>
        <w:rPr>
          <w:rFonts w:ascii="Arial" w:hAnsi="Arial" w:cs="Arial"/>
          <w:bCs/>
          <w:sz w:val="22"/>
          <w:szCs w:val="22"/>
        </w:rPr>
        <w:t xml:space="preserve">    </w:t>
      </w:r>
      <w:r w:rsidRPr="00391766">
        <w:rPr>
          <w:rFonts w:ascii="Arial" w:hAnsi="Arial" w:cs="Arial"/>
          <w:bCs/>
          <w:sz w:val="22"/>
          <w:szCs w:val="22"/>
        </w:rPr>
        <w:t>(str. 16 Kontrolního závěru)</w:t>
      </w:r>
    </w:p>
    <w:p w:rsidR="006E3C49" w:rsidRDefault="006E3C49" w:rsidP="006E3C49">
      <w:pPr>
        <w:jc w:val="both"/>
        <w:rPr>
          <w:rFonts w:ascii="Arial" w:hAnsi="Arial" w:cs="Arial"/>
          <w:bCs/>
          <w:sz w:val="22"/>
          <w:szCs w:val="22"/>
        </w:rPr>
      </w:pPr>
    </w:p>
    <w:p w:rsidR="00391766" w:rsidRPr="00391766" w:rsidRDefault="00391766" w:rsidP="00391766">
      <w:pPr>
        <w:jc w:val="both"/>
        <w:rPr>
          <w:rFonts w:ascii="Arial" w:hAnsi="Arial" w:cs="Arial"/>
          <w:bCs/>
          <w:i/>
          <w:iCs/>
          <w:sz w:val="22"/>
          <w:szCs w:val="22"/>
          <w:u w:val="single"/>
        </w:rPr>
      </w:pPr>
      <w:r w:rsidRPr="00391766">
        <w:rPr>
          <w:rFonts w:ascii="Arial" w:hAnsi="Arial" w:cs="Arial"/>
          <w:bCs/>
          <w:i/>
          <w:iCs/>
          <w:sz w:val="22"/>
          <w:szCs w:val="22"/>
          <w:u w:val="single"/>
        </w:rPr>
        <w:t>Zjištění NKÚ:</w:t>
      </w:r>
    </w:p>
    <w:p w:rsidR="00391766" w:rsidRPr="00391766" w:rsidRDefault="00391766" w:rsidP="00391766">
      <w:pPr>
        <w:jc w:val="both"/>
        <w:rPr>
          <w:rFonts w:ascii="Arial" w:hAnsi="Arial" w:cs="Arial"/>
          <w:bCs/>
          <w:i/>
          <w:sz w:val="22"/>
          <w:szCs w:val="22"/>
        </w:rPr>
      </w:pPr>
      <w:r>
        <w:rPr>
          <w:rFonts w:ascii="Arial" w:hAnsi="Arial" w:cs="Arial"/>
          <w:bCs/>
          <w:i/>
          <w:sz w:val="22"/>
          <w:szCs w:val="22"/>
        </w:rPr>
        <w:t>„</w:t>
      </w:r>
      <w:r w:rsidRPr="00391766">
        <w:rPr>
          <w:rFonts w:ascii="Arial" w:hAnsi="Arial" w:cs="Arial"/>
          <w:bCs/>
          <w:i/>
          <w:sz w:val="22"/>
          <w:szCs w:val="22"/>
        </w:rPr>
        <w:t>Celkové výdaje CS ČR trvale rostly. Mezi roky 2012–2015 došlo k nárůstu celkových výdajů o cca 11,6 %. Nejvýznamnější mzdové výdaje narostly ve stejném období o 7,9 %. V</w:t>
      </w:r>
      <w:r w:rsidR="00F60850">
        <w:rPr>
          <w:rFonts w:ascii="Arial" w:hAnsi="Arial" w:cs="Arial"/>
          <w:bCs/>
          <w:i/>
          <w:sz w:val="22"/>
          <w:szCs w:val="22"/>
        </w:rPr>
        <w:t> </w:t>
      </w:r>
      <w:r w:rsidRPr="00391766">
        <w:rPr>
          <w:rFonts w:ascii="Arial" w:hAnsi="Arial" w:cs="Arial"/>
          <w:bCs/>
          <w:i/>
          <w:sz w:val="22"/>
          <w:szCs w:val="22"/>
        </w:rPr>
        <w:t>důsledku nové organizační struktury se např. v letech 2013–2015 zvýšily výdaje na tuzemské cestovné oproti roku 2012 o 74 %, tj. o cca 15–18 mil. Kč.</w:t>
      </w:r>
    </w:p>
    <w:p w:rsidR="00391766" w:rsidRDefault="00391766" w:rsidP="00391766">
      <w:pPr>
        <w:jc w:val="both"/>
        <w:rPr>
          <w:rFonts w:ascii="Arial" w:hAnsi="Arial" w:cs="Arial"/>
          <w:bCs/>
          <w:i/>
          <w:sz w:val="22"/>
          <w:szCs w:val="22"/>
        </w:rPr>
      </w:pPr>
      <w:r w:rsidRPr="00391766">
        <w:rPr>
          <w:rFonts w:ascii="Arial" w:hAnsi="Arial" w:cs="Arial"/>
          <w:bCs/>
          <w:i/>
          <w:sz w:val="22"/>
          <w:szCs w:val="22"/>
        </w:rPr>
        <w:t>Čerpání prostředků na odchodné a výsluhový příspěvek neodpovídalo předpokladům. GŘC nad rámec potřeb rozpočtovalo a vázalo prostředky státního rozpočtu ve výši cca 414 mil. Kč v roce 2014, v roce 2013 ve výši cca 318 mil. Kč a v roce 2012 ve výši cca 244 mil. Kč. Oproti roku 2012 se v letech 2013 a 2014 zvýšilo čerpání výsluhového příspěvku cca o</w:t>
      </w:r>
      <w:r w:rsidR="002C6333">
        <w:rPr>
          <w:rFonts w:ascii="Arial" w:hAnsi="Arial" w:cs="Arial"/>
          <w:bCs/>
          <w:i/>
          <w:sz w:val="22"/>
          <w:szCs w:val="22"/>
        </w:rPr>
        <w:t> </w:t>
      </w:r>
      <w:r w:rsidRPr="00391766">
        <w:rPr>
          <w:rFonts w:ascii="Arial" w:hAnsi="Arial" w:cs="Arial"/>
          <w:bCs/>
          <w:i/>
          <w:sz w:val="22"/>
          <w:szCs w:val="22"/>
        </w:rPr>
        <w:t>7</w:t>
      </w:r>
      <w:r w:rsidR="002C6333">
        <w:rPr>
          <w:rFonts w:ascii="Arial" w:hAnsi="Arial" w:cs="Arial"/>
          <w:bCs/>
          <w:i/>
          <w:sz w:val="22"/>
          <w:szCs w:val="22"/>
        </w:rPr>
        <w:t> </w:t>
      </w:r>
      <w:r w:rsidRPr="00391766">
        <w:rPr>
          <w:rFonts w:ascii="Arial" w:hAnsi="Arial" w:cs="Arial"/>
          <w:bCs/>
          <w:i/>
          <w:sz w:val="22"/>
          <w:szCs w:val="22"/>
        </w:rPr>
        <w:t>mil.</w:t>
      </w:r>
      <w:r w:rsidR="002C6333">
        <w:rPr>
          <w:rFonts w:ascii="Arial" w:hAnsi="Arial" w:cs="Arial"/>
          <w:bCs/>
          <w:i/>
          <w:sz w:val="22"/>
          <w:szCs w:val="22"/>
        </w:rPr>
        <w:t> </w:t>
      </w:r>
      <w:r w:rsidRPr="00391766">
        <w:rPr>
          <w:rFonts w:ascii="Arial" w:hAnsi="Arial" w:cs="Arial"/>
          <w:bCs/>
          <w:i/>
          <w:sz w:val="22"/>
          <w:szCs w:val="22"/>
        </w:rPr>
        <w:t>Kč, rozpočet na tyto položky se však zvýšil cca o 166 mil. Kč.</w:t>
      </w:r>
      <w:r>
        <w:rPr>
          <w:rFonts w:ascii="Arial" w:hAnsi="Arial" w:cs="Arial"/>
          <w:bCs/>
          <w:i/>
          <w:sz w:val="22"/>
          <w:szCs w:val="22"/>
        </w:rPr>
        <w:t>“</w:t>
      </w:r>
    </w:p>
    <w:p w:rsidR="00391766" w:rsidRDefault="00391766" w:rsidP="00391766">
      <w:pPr>
        <w:jc w:val="both"/>
        <w:rPr>
          <w:rFonts w:ascii="Arial" w:hAnsi="Arial" w:cs="Arial"/>
          <w:bCs/>
          <w:i/>
          <w:sz w:val="22"/>
          <w:szCs w:val="22"/>
        </w:rPr>
      </w:pPr>
    </w:p>
    <w:p w:rsidR="00391766" w:rsidRPr="00391766" w:rsidRDefault="00391766" w:rsidP="00391766">
      <w:pPr>
        <w:jc w:val="both"/>
        <w:rPr>
          <w:rFonts w:ascii="Arial" w:hAnsi="Arial" w:cs="Arial"/>
          <w:bCs/>
          <w:iCs/>
          <w:sz w:val="22"/>
          <w:szCs w:val="22"/>
          <w:u w:val="single"/>
        </w:rPr>
      </w:pPr>
      <w:r w:rsidRPr="00391766">
        <w:rPr>
          <w:rFonts w:ascii="Arial" w:hAnsi="Arial" w:cs="Arial"/>
          <w:bCs/>
          <w:iCs/>
          <w:sz w:val="22"/>
          <w:szCs w:val="22"/>
          <w:u w:val="single"/>
        </w:rPr>
        <w:t>Stanovisko GŘC:</w:t>
      </w:r>
    </w:p>
    <w:p w:rsidR="009F6D04" w:rsidRPr="008875AD" w:rsidRDefault="009F6D04" w:rsidP="008875AD">
      <w:pPr>
        <w:jc w:val="both"/>
        <w:rPr>
          <w:rFonts w:ascii="Arial" w:hAnsi="Arial" w:cs="Arial"/>
          <w:bCs/>
          <w:iCs/>
          <w:sz w:val="22"/>
          <w:szCs w:val="22"/>
        </w:rPr>
      </w:pPr>
      <w:r w:rsidRPr="008875AD">
        <w:rPr>
          <w:rFonts w:ascii="Arial" w:hAnsi="Arial" w:cs="Arial"/>
          <w:bCs/>
          <w:iCs/>
          <w:sz w:val="22"/>
          <w:szCs w:val="22"/>
        </w:rPr>
        <w:t>Příčinou zvýšení platů v uvedené období bylo plošné zvýšení platů příslušníků bezpečnostních sborů, které proběhlo k 1. listopadu 2014 a 1. lednu 2015.</w:t>
      </w:r>
    </w:p>
    <w:p w:rsidR="009F6D04" w:rsidRPr="008875AD" w:rsidRDefault="009F6D04" w:rsidP="008875AD">
      <w:pPr>
        <w:jc w:val="both"/>
        <w:rPr>
          <w:rFonts w:ascii="Arial" w:hAnsi="Arial" w:cs="Arial"/>
          <w:bCs/>
          <w:iCs/>
          <w:sz w:val="22"/>
          <w:szCs w:val="22"/>
        </w:rPr>
      </w:pPr>
      <w:r w:rsidRPr="008875AD">
        <w:rPr>
          <w:rFonts w:ascii="Arial" w:hAnsi="Arial" w:cs="Arial"/>
          <w:bCs/>
          <w:iCs/>
          <w:sz w:val="22"/>
          <w:szCs w:val="22"/>
        </w:rPr>
        <w:t>Přiznání cestovních náhrad je v případě organizačních změn, kdy jsou rušena služební místa celníků upraveno v § 149 zákona č. 361/2003 Sb., o služebním poměru příslušníků bezpečnostních sborů. Pokud je celníkovi zrušeno služební místo z důvodu organizační změny a je převeden na jiné služební místo, náleží mu náhrady cestovních výdajů do doby jeho přestěhování do nového místa služebního působiště a stravné se poskytuje nejdéle po dobu šesti let.</w:t>
      </w:r>
    </w:p>
    <w:p w:rsidR="009F6D04" w:rsidRPr="008875AD" w:rsidRDefault="009F6D04" w:rsidP="008875AD">
      <w:pPr>
        <w:jc w:val="both"/>
        <w:rPr>
          <w:rFonts w:ascii="Arial" w:hAnsi="Arial" w:cs="Arial"/>
          <w:bCs/>
          <w:iCs/>
          <w:sz w:val="22"/>
          <w:szCs w:val="22"/>
        </w:rPr>
      </w:pPr>
      <w:r w:rsidRPr="008875AD">
        <w:rPr>
          <w:rFonts w:ascii="Arial" w:hAnsi="Arial" w:cs="Arial"/>
          <w:bCs/>
          <w:iCs/>
          <w:sz w:val="22"/>
          <w:szCs w:val="22"/>
        </w:rPr>
        <w:t>Zákon č. 320/2001 Sb., o finanční kontrole ve veřejné správě a o změně některých zákonů (zákon o finanční kontrole), ve znění pozdějších předpisů, definuje efektivnost jako použití veřejných prostředků, kterým se dosáhne nejvýše možného rozsahu, kvality a přínosu ve srovnání s objemem vynaložených prostředků. V případě odchodného a výsluhových příspěvků byly čerpány veřejné prostředky přesně ve výši stanovené zákonem č. 361/2003 Sb., o služebním poměru příslušníků bezpečnostních sborů. Z pohledu vynaložených prostředků tak nemohlo být dosaženo vyššího přínosu, neboť rozsah finančního plnění u</w:t>
      </w:r>
      <w:r w:rsidR="00DD5DD5">
        <w:rPr>
          <w:rFonts w:ascii="Arial" w:hAnsi="Arial" w:cs="Arial"/>
          <w:bCs/>
          <w:iCs/>
          <w:sz w:val="22"/>
          <w:szCs w:val="22"/>
        </w:rPr>
        <w:t> </w:t>
      </w:r>
      <w:r w:rsidRPr="008875AD">
        <w:rPr>
          <w:rFonts w:ascii="Arial" w:hAnsi="Arial" w:cs="Arial"/>
          <w:bCs/>
          <w:iCs/>
          <w:sz w:val="22"/>
          <w:szCs w:val="22"/>
        </w:rPr>
        <w:t>odchodného a výsluhových příspěvků byl vynaložen přesně ve výši stanovené zákonem č.</w:t>
      </w:r>
      <w:r w:rsidR="00DD5DD5">
        <w:rPr>
          <w:rFonts w:ascii="Arial" w:hAnsi="Arial" w:cs="Arial"/>
          <w:bCs/>
          <w:iCs/>
          <w:sz w:val="22"/>
          <w:szCs w:val="22"/>
        </w:rPr>
        <w:t> </w:t>
      </w:r>
      <w:r w:rsidRPr="008875AD">
        <w:rPr>
          <w:rFonts w:ascii="Arial" w:hAnsi="Arial" w:cs="Arial"/>
          <w:bCs/>
          <w:iCs/>
          <w:sz w:val="22"/>
          <w:szCs w:val="22"/>
        </w:rPr>
        <w:t>361/2003 Sb. Došlo však k situaci, že část rozpočtu, vyčleněného na výplatu odchodného a výsluhových příspěvků v daném kalendářním roce, nebyla dočerpána.</w:t>
      </w:r>
    </w:p>
    <w:p w:rsidR="009F6D04" w:rsidRPr="008875AD" w:rsidRDefault="009F6D04" w:rsidP="008875AD">
      <w:pPr>
        <w:jc w:val="both"/>
        <w:rPr>
          <w:rFonts w:ascii="Arial" w:hAnsi="Arial" w:cs="Arial"/>
          <w:bCs/>
          <w:iCs/>
          <w:sz w:val="22"/>
          <w:szCs w:val="22"/>
        </w:rPr>
      </w:pPr>
      <w:r w:rsidRPr="008875AD">
        <w:rPr>
          <w:rFonts w:ascii="Arial" w:hAnsi="Arial" w:cs="Arial"/>
          <w:bCs/>
          <w:iCs/>
          <w:sz w:val="22"/>
          <w:szCs w:val="22"/>
        </w:rPr>
        <w:t>Nezpochybňujeme závěr kontrolní skupiny, že nedočerpané finanční prostředky, alokované v</w:t>
      </w:r>
      <w:r w:rsidR="00DD5DD5">
        <w:rPr>
          <w:rFonts w:ascii="Arial" w:hAnsi="Arial" w:cs="Arial"/>
          <w:bCs/>
          <w:iCs/>
          <w:sz w:val="22"/>
          <w:szCs w:val="22"/>
        </w:rPr>
        <w:t> </w:t>
      </w:r>
      <w:r w:rsidRPr="008875AD">
        <w:rPr>
          <w:rFonts w:ascii="Arial" w:hAnsi="Arial" w:cs="Arial"/>
          <w:bCs/>
          <w:iCs/>
          <w:sz w:val="22"/>
          <w:szCs w:val="22"/>
        </w:rPr>
        <w:t>rámci schváleného rozpočtu pro daný kalendářní rok na výplatu odchodného a výsluhových příspěvků, mohly být použity na jiný účel, ale podle našeho názoru nebylo riziko zvýšeného odchodu celníků, v jehož důsledku došlo k navýšení rozpočtu, příliš nadhodnoceno. Celní správa ČR procházela významnou organizační změnou (přechod z třístupňové na dvoustupňovou organizační strukturu), přičemž faktory, které byly zohledněny při sestavování návrhu rozpočtu pro výplatu odchodného a výsluhových příspěvků pro roky 2012 až 2014 nasvědčovaly tomu, že se předpoklad zvýšených odchodů naplní. Mimoto termíny pro výplatu odchodného a výsluhových příspěvků jsou vymezeny zákonem č.</w:t>
      </w:r>
      <w:r w:rsidR="00922E71">
        <w:rPr>
          <w:rFonts w:ascii="Arial" w:hAnsi="Arial" w:cs="Arial"/>
          <w:bCs/>
          <w:iCs/>
          <w:sz w:val="22"/>
          <w:szCs w:val="22"/>
        </w:rPr>
        <w:t> </w:t>
      </w:r>
      <w:r w:rsidRPr="008875AD">
        <w:rPr>
          <w:rFonts w:ascii="Arial" w:hAnsi="Arial" w:cs="Arial"/>
          <w:bCs/>
          <w:iCs/>
          <w:sz w:val="22"/>
          <w:szCs w:val="22"/>
        </w:rPr>
        <w:t>361/2003 Sb. a při podhodnocení návrhu rozpočtu na tyto dávky by se Celní správa ČR vystavovala dalším finančním rizikům.</w:t>
      </w:r>
    </w:p>
    <w:p w:rsidR="00B722D5" w:rsidRPr="008875AD" w:rsidRDefault="009F6D04" w:rsidP="009F6D04">
      <w:pPr>
        <w:jc w:val="both"/>
        <w:rPr>
          <w:rFonts w:ascii="Arial" w:hAnsi="Arial" w:cs="Arial"/>
          <w:bCs/>
          <w:iCs/>
          <w:sz w:val="22"/>
          <w:szCs w:val="22"/>
        </w:rPr>
      </w:pPr>
      <w:r w:rsidRPr="008875AD">
        <w:rPr>
          <w:rFonts w:ascii="Arial" w:hAnsi="Arial" w:cs="Arial"/>
          <w:bCs/>
          <w:iCs/>
          <w:sz w:val="22"/>
          <w:szCs w:val="22"/>
        </w:rPr>
        <w:t>V návaznosti na vyhodnocení čerpání výdajů na odchodné a výsluhové příspěvky v průběhu roku 2014, ze kterého bylo zřejmé, že se zvýšený rozsah odchodů celníků v důsledku organizační změny Celní správy ČR, původně předpokládaný GŘC, nenaplnil, byla tato skutečnost zohledněna při přípravě návrhu rozpočtu na rok 2015 (snížení návrhu výdajů na výplatu odchodného a výsluhových příspěvků pro rok 2015 oproti roku 2014). V roce 2015 činilo celkové čerpání odchodného a výsluhových příspěvků 90 % schváleného rozpočtu pro rok 2015.</w:t>
      </w:r>
    </w:p>
    <w:p w:rsidR="009F6D04" w:rsidRPr="00391766" w:rsidRDefault="009F6D04" w:rsidP="009F6D04">
      <w:pPr>
        <w:jc w:val="both"/>
        <w:rPr>
          <w:rFonts w:ascii="Arial" w:hAnsi="Arial" w:cs="Arial"/>
          <w:bCs/>
          <w:iCs/>
          <w:sz w:val="22"/>
          <w:szCs w:val="22"/>
        </w:rPr>
      </w:pPr>
    </w:p>
    <w:p w:rsidR="00391766" w:rsidRPr="00391766" w:rsidRDefault="00391766" w:rsidP="00391766">
      <w:pPr>
        <w:jc w:val="both"/>
        <w:rPr>
          <w:rFonts w:ascii="Arial" w:hAnsi="Arial" w:cs="Arial"/>
          <w:bCs/>
          <w:iCs/>
          <w:sz w:val="22"/>
          <w:szCs w:val="22"/>
        </w:rPr>
      </w:pPr>
      <w:r w:rsidRPr="00391766">
        <w:rPr>
          <w:rFonts w:ascii="Arial" w:hAnsi="Arial" w:cs="Arial"/>
          <w:bCs/>
          <w:iCs/>
          <w:sz w:val="22"/>
          <w:szCs w:val="22"/>
          <w:u w:val="single"/>
        </w:rPr>
        <w:t>Opatření GŘC:</w:t>
      </w:r>
    </w:p>
    <w:p w:rsidR="002C6333" w:rsidRPr="002C6333" w:rsidRDefault="002C6333" w:rsidP="002C6333">
      <w:pPr>
        <w:jc w:val="both"/>
        <w:rPr>
          <w:rFonts w:ascii="Arial" w:hAnsi="Arial" w:cs="Arial"/>
          <w:bCs/>
          <w:iCs/>
          <w:sz w:val="22"/>
          <w:szCs w:val="22"/>
        </w:rPr>
      </w:pPr>
      <w:r w:rsidRPr="002C6333">
        <w:rPr>
          <w:rFonts w:ascii="Arial" w:hAnsi="Arial" w:cs="Arial"/>
          <w:bCs/>
          <w:iCs/>
          <w:sz w:val="22"/>
          <w:szCs w:val="22"/>
        </w:rPr>
        <w:t>Vzhledem ke stanovisku GŘC opatření nepřijímá.</w:t>
      </w:r>
    </w:p>
    <w:p w:rsidR="00391766" w:rsidRDefault="00B722D5" w:rsidP="00B722D5">
      <w:pPr>
        <w:jc w:val="both"/>
        <w:rPr>
          <w:rFonts w:ascii="Arial" w:hAnsi="Arial" w:cs="Arial"/>
          <w:bCs/>
          <w:iCs/>
          <w:sz w:val="22"/>
          <w:szCs w:val="22"/>
        </w:rPr>
      </w:pPr>
      <w:r w:rsidRPr="00B722D5">
        <w:rPr>
          <w:rFonts w:ascii="Arial" w:hAnsi="Arial" w:cs="Arial"/>
          <w:bCs/>
          <w:iCs/>
          <w:sz w:val="22"/>
          <w:szCs w:val="22"/>
        </w:rPr>
        <w:t>Jak vyplývá z vyjádření, již v následujícím roce byly prostředky čerpány na 90</w:t>
      </w:r>
      <w:r w:rsidR="002C6333">
        <w:rPr>
          <w:rFonts w:ascii="Arial" w:hAnsi="Arial" w:cs="Arial"/>
          <w:bCs/>
          <w:iCs/>
          <w:sz w:val="22"/>
          <w:szCs w:val="22"/>
        </w:rPr>
        <w:t xml:space="preserve"> </w:t>
      </w:r>
      <w:r w:rsidRPr="00B722D5">
        <w:rPr>
          <w:rFonts w:ascii="Arial" w:hAnsi="Arial" w:cs="Arial"/>
          <w:bCs/>
          <w:iCs/>
          <w:sz w:val="22"/>
          <w:szCs w:val="22"/>
        </w:rPr>
        <w:t>% schváleného rozpočtu a v roce 2016 očekáváme ještě vyšší čerpaní.</w:t>
      </w:r>
    </w:p>
    <w:p w:rsidR="00B722D5" w:rsidRPr="00391766" w:rsidRDefault="00B722D5" w:rsidP="00B722D5">
      <w:pPr>
        <w:jc w:val="both"/>
        <w:rPr>
          <w:rFonts w:ascii="Arial" w:hAnsi="Arial" w:cs="Arial"/>
          <w:bCs/>
          <w:iCs/>
          <w:sz w:val="22"/>
          <w:szCs w:val="22"/>
        </w:rPr>
      </w:pPr>
    </w:p>
    <w:p w:rsidR="00391766" w:rsidRDefault="00391766" w:rsidP="00391766">
      <w:pPr>
        <w:jc w:val="both"/>
        <w:rPr>
          <w:rFonts w:ascii="Arial" w:hAnsi="Arial" w:cs="Arial"/>
          <w:bCs/>
          <w:sz w:val="22"/>
          <w:szCs w:val="22"/>
        </w:rPr>
      </w:pPr>
    </w:p>
    <w:p w:rsidR="005B54F5" w:rsidRDefault="005B54F5" w:rsidP="005B54F5">
      <w:pPr>
        <w:jc w:val="both"/>
        <w:rPr>
          <w:rFonts w:ascii="Arial" w:hAnsi="Arial" w:cs="Arial"/>
          <w:b/>
          <w:bCs/>
          <w:sz w:val="22"/>
          <w:szCs w:val="22"/>
        </w:rPr>
      </w:pPr>
      <w:r w:rsidRPr="005B54F5">
        <w:rPr>
          <w:rFonts w:ascii="Arial" w:hAnsi="Arial" w:cs="Arial"/>
          <w:b/>
          <w:bCs/>
          <w:sz w:val="22"/>
          <w:szCs w:val="22"/>
        </w:rPr>
        <w:t>B.2 Projekt</w:t>
      </w:r>
      <w:r>
        <w:rPr>
          <w:rFonts w:ascii="Arial" w:hAnsi="Arial" w:cs="Arial"/>
          <w:b/>
          <w:bCs/>
          <w:sz w:val="22"/>
          <w:szCs w:val="22"/>
        </w:rPr>
        <w:t xml:space="preserve"> </w:t>
      </w:r>
      <w:r w:rsidRPr="005B54F5">
        <w:rPr>
          <w:rFonts w:ascii="Arial" w:hAnsi="Arial" w:cs="Arial"/>
          <w:b/>
          <w:bCs/>
          <w:sz w:val="22"/>
          <w:szCs w:val="22"/>
        </w:rPr>
        <w:t xml:space="preserve"> Komplexní </w:t>
      </w:r>
      <w:r>
        <w:rPr>
          <w:rFonts w:ascii="Arial" w:hAnsi="Arial" w:cs="Arial"/>
          <w:b/>
          <w:bCs/>
          <w:sz w:val="22"/>
          <w:szCs w:val="22"/>
        </w:rPr>
        <w:t xml:space="preserve"> </w:t>
      </w:r>
      <w:r w:rsidRPr="005B54F5">
        <w:rPr>
          <w:rFonts w:ascii="Arial" w:hAnsi="Arial" w:cs="Arial"/>
          <w:b/>
          <w:bCs/>
          <w:sz w:val="22"/>
          <w:szCs w:val="22"/>
        </w:rPr>
        <w:t xml:space="preserve">zavedení </w:t>
      </w:r>
      <w:r>
        <w:rPr>
          <w:rFonts w:ascii="Arial" w:hAnsi="Arial" w:cs="Arial"/>
          <w:b/>
          <w:bCs/>
          <w:sz w:val="22"/>
          <w:szCs w:val="22"/>
        </w:rPr>
        <w:t xml:space="preserve"> </w:t>
      </w:r>
      <w:r w:rsidRPr="005B54F5">
        <w:rPr>
          <w:rFonts w:ascii="Arial" w:hAnsi="Arial" w:cs="Arial"/>
          <w:b/>
          <w:bCs/>
          <w:sz w:val="22"/>
          <w:szCs w:val="22"/>
        </w:rPr>
        <w:t xml:space="preserve">procesního </w:t>
      </w:r>
      <w:r>
        <w:rPr>
          <w:rFonts w:ascii="Arial" w:hAnsi="Arial" w:cs="Arial"/>
          <w:b/>
          <w:bCs/>
          <w:sz w:val="22"/>
          <w:szCs w:val="22"/>
        </w:rPr>
        <w:t xml:space="preserve"> </w:t>
      </w:r>
      <w:r w:rsidRPr="005B54F5">
        <w:rPr>
          <w:rFonts w:ascii="Arial" w:hAnsi="Arial" w:cs="Arial"/>
          <w:b/>
          <w:bCs/>
          <w:sz w:val="22"/>
          <w:szCs w:val="22"/>
        </w:rPr>
        <w:t xml:space="preserve">řízení a procesní optimalizace v Celní </w:t>
      </w:r>
    </w:p>
    <w:p w:rsidR="005B54F5" w:rsidRPr="005B54F5" w:rsidRDefault="005B54F5" w:rsidP="005B54F5">
      <w:pPr>
        <w:jc w:val="both"/>
        <w:rPr>
          <w:rFonts w:ascii="Arial" w:hAnsi="Arial" w:cs="Arial"/>
          <w:b/>
          <w:bCs/>
          <w:sz w:val="22"/>
          <w:szCs w:val="22"/>
        </w:rPr>
      </w:pPr>
      <w:r>
        <w:rPr>
          <w:rFonts w:ascii="Arial" w:hAnsi="Arial" w:cs="Arial"/>
          <w:b/>
          <w:bCs/>
          <w:sz w:val="22"/>
          <w:szCs w:val="22"/>
        </w:rPr>
        <w:t xml:space="preserve">      </w:t>
      </w:r>
      <w:r w:rsidRPr="005B54F5">
        <w:rPr>
          <w:rFonts w:ascii="Arial" w:hAnsi="Arial" w:cs="Arial"/>
          <w:b/>
          <w:bCs/>
          <w:sz w:val="22"/>
          <w:szCs w:val="22"/>
        </w:rPr>
        <w:t>správě České republiky</w:t>
      </w:r>
    </w:p>
    <w:p w:rsidR="005B54F5" w:rsidRPr="005B54F5" w:rsidRDefault="005B54F5" w:rsidP="005B54F5">
      <w:pPr>
        <w:jc w:val="both"/>
        <w:rPr>
          <w:rFonts w:ascii="Arial" w:hAnsi="Arial" w:cs="Arial"/>
          <w:bCs/>
          <w:sz w:val="22"/>
          <w:szCs w:val="22"/>
        </w:rPr>
      </w:pPr>
      <w:r>
        <w:rPr>
          <w:rFonts w:ascii="Arial" w:hAnsi="Arial" w:cs="Arial"/>
          <w:bCs/>
          <w:sz w:val="22"/>
          <w:szCs w:val="22"/>
        </w:rPr>
        <w:t xml:space="preserve">      </w:t>
      </w:r>
      <w:r w:rsidRPr="005B54F5">
        <w:rPr>
          <w:rFonts w:ascii="Arial" w:hAnsi="Arial" w:cs="Arial"/>
          <w:bCs/>
          <w:sz w:val="22"/>
          <w:szCs w:val="22"/>
        </w:rPr>
        <w:t>(str. 17 Kontrolního závěru)</w:t>
      </w:r>
    </w:p>
    <w:p w:rsidR="00391766" w:rsidRDefault="00391766" w:rsidP="00391766">
      <w:pPr>
        <w:jc w:val="both"/>
        <w:rPr>
          <w:rFonts w:ascii="Arial" w:hAnsi="Arial" w:cs="Arial"/>
          <w:bCs/>
          <w:sz w:val="22"/>
          <w:szCs w:val="22"/>
        </w:rPr>
      </w:pPr>
    </w:p>
    <w:p w:rsidR="005B54F5" w:rsidRPr="005B54F5" w:rsidRDefault="005B54F5" w:rsidP="005B54F5">
      <w:pPr>
        <w:jc w:val="both"/>
        <w:rPr>
          <w:rFonts w:ascii="Arial" w:hAnsi="Arial" w:cs="Arial"/>
          <w:bCs/>
          <w:i/>
          <w:iCs/>
          <w:sz w:val="22"/>
          <w:szCs w:val="22"/>
          <w:u w:val="single"/>
        </w:rPr>
      </w:pPr>
      <w:r w:rsidRPr="005B54F5">
        <w:rPr>
          <w:rFonts w:ascii="Arial" w:hAnsi="Arial" w:cs="Arial"/>
          <w:bCs/>
          <w:i/>
          <w:iCs/>
          <w:sz w:val="22"/>
          <w:szCs w:val="22"/>
          <w:u w:val="single"/>
        </w:rPr>
        <w:t>Zjištění NKÚ:</w:t>
      </w:r>
    </w:p>
    <w:p w:rsidR="005B54F5" w:rsidRPr="005B54F5" w:rsidRDefault="005B54F5" w:rsidP="005B54F5">
      <w:pPr>
        <w:jc w:val="both"/>
        <w:rPr>
          <w:rFonts w:ascii="Arial" w:hAnsi="Arial" w:cs="Arial"/>
          <w:bCs/>
          <w:i/>
          <w:sz w:val="22"/>
          <w:szCs w:val="22"/>
        </w:rPr>
      </w:pPr>
      <w:r>
        <w:rPr>
          <w:rFonts w:ascii="Arial" w:hAnsi="Arial" w:cs="Arial"/>
          <w:bCs/>
          <w:i/>
          <w:sz w:val="22"/>
          <w:szCs w:val="22"/>
        </w:rPr>
        <w:t>„</w:t>
      </w:r>
      <w:r w:rsidRPr="005B54F5">
        <w:rPr>
          <w:rFonts w:ascii="Arial" w:hAnsi="Arial" w:cs="Arial"/>
          <w:bCs/>
          <w:i/>
          <w:sz w:val="22"/>
          <w:szCs w:val="22"/>
        </w:rPr>
        <w:t>GŘC požádalo dne 29. 11. 2010 (finální žádost v IS BENEFIT) Ministerstvo vnitra (dále také „MV“) o poskytnutí finančních prostředků z operačního programu Lidské zdroje a</w:t>
      </w:r>
      <w:r w:rsidR="002C6333">
        <w:rPr>
          <w:rFonts w:ascii="Arial" w:hAnsi="Arial" w:cs="Arial"/>
          <w:bCs/>
          <w:i/>
          <w:sz w:val="22"/>
          <w:szCs w:val="22"/>
        </w:rPr>
        <w:t> </w:t>
      </w:r>
      <w:r w:rsidRPr="005B54F5">
        <w:rPr>
          <w:rFonts w:ascii="Arial" w:hAnsi="Arial" w:cs="Arial"/>
          <w:bCs/>
          <w:i/>
          <w:sz w:val="22"/>
          <w:szCs w:val="22"/>
        </w:rPr>
        <w:t>zaměstnanost na projekt Komplexní zavedení procesního řízení a procesní optimalizace v</w:t>
      </w:r>
      <w:r w:rsidR="002C6333">
        <w:rPr>
          <w:rFonts w:ascii="Arial" w:hAnsi="Arial" w:cs="Arial"/>
          <w:bCs/>
          <w:i/>
          <w:sz w:val="22"/>
          <w:szCs w:val="22"/>
        </w:rPr>
        <w:t> </w:t>
      </w:r>
      <w:r w:rsidRPr="005B54F5">
        <w:rPr>
          <w:rFonts w:ascii="Arial" w:hAnsi="Arial" w:cs="Arial"/>
          <w:bCs/>
          <w:i/>
          <w:sz w:val="22"/>
          <w:szCs w:val="22"/>
        </w:rPr>
        <w:t xml:space="preserve">Celní správě České republiky (dále také „Projekt“). MV zaregistrovalo Projekt pod registračním číslem CZ.1.04/4.1.00/59.00018. </w:t>
      </w:r>
    </w:p>
    <w:p w:rsidR="005B54F5" w:rsidRPr="005B54F5" w:rsidRDefault="005B54F5" w:rsidP="005B54F5">
      <w:pPr>
        <w:jc w:val="both"/>
        <w:rPr>
          <w:rFonts w:ascii="Arial" w:hAnsi="Arial" w:cs="Arial"/>
          <w:bCs/>
          <w:i/>
          <w:sz w:val="22"/>
          <w:szCs w:val="22"/>
        </w:rPr>
      </w:pPr>
      <w:r w:rsidRPr="005B54F5">
        <w:rPr>
          <w:rFonts w:ascii="Arial" w:hAnsi="Arial" w:cs="Arial"/>
          <w:bCs/>
          <w:i/>
          <w:sz w:val="22"/>
          <w:szCs w:val="22"/>
        </w:rPr>
        <w:t>Procesní řízení neboli business process management (BPM) je soubor činností, které se týkají plánování, optimalizace procesů (činností), standardizace, sledování výkonnosti a</w:t>
      </w:r>
      <w:r w:rsidR="002C6333">
        <w:rPr>
          <w:rFonts w:ascii="Arial" w:hAnsi="Arial" w:cs="Arial"/>
          <w:bCs/>
          <w:i/>
          <w:sz w:val="22"/>
          <w:szCs w:val="22"/>
        </w:rPr>
        <w:t> </w:t>
      </w:r>
      <w:r w:rsidRPr="005B54F5">
        <w:rPr>
          <w:rFonts w:ascii="Arial" w:hAnsi="Arial" w:cs="Arial"/>
          <w:bCs/>
          <w:i/>
          <w:sz w:val="22"/>
          <w:szCs w:val="22"/>
        </w:rPr>
        <w:t>nákladovosti procesů s cílem neustálého zlepšování a zefektivňování činnosti. Hlavním cílem Projektu bylo dokončení implementace systému strategického plánování a řízení, zlepšení kvality řízení a managementu CS ČR a tím zefektivnění pracovních procesů a</w:t>
      </w:r>
      <w:r w:rsidR="002C6333">
        <w:rPr>
          <w:rFonts w:ascii="Arial" w:hAnsi="Arial" w:cs="Arial"/>
          <w:bCs/>
          <w:i/>
          <w:sz w:val="22"/>
          <w:szCs w:val="22"/>
        </w:rPr>
        <w:t> </w:t>
      </w:r>
      <w:r w:rsidRPr="005B54F5">
        <w:rPr>
          <w:rFonts w:ascii="Arial" w:hAnsi="Arial" w:cs="Arial"/>
          <w:bCs/>
          <w:i/>
          <w:sz w:val="22"/>
          <w:szCs w:val="22"/>
        </w:rPr>
        <w:t>postupů, snížení nadbytečné administrativy u řadových zaměstnanců a zvýšení efektivity jednotlivých týmů a oddělení. Současně byla cílem Projektu implementace systému procesního řízení, které mělo přispět k efektivnímu fungování celé organizace. Ucelený materiál, který by vyhodnotil naplnění Projektu, GŘC nepředložilo. Pro dosažení cílů Projektu realizovali GŘC a dodavatel aktivity uvedené v tabulce č. 3. GŘC však dále některé aktivity nerozvíjelo dostatečně.</w:t>
      </w:r>
    </w:p>
    <w:p w:rsidR="005B54F5" w:rsidRPr="005B54F5" w:rsidRDefault="005B54F5" w:rsidP="005B54F5">
      <w:pPr>
        <w:jc w:val="both"/>
        <w:rPr>
          <w:rFonts w:ascii="Arial" w:hAnsi="Arial" w:cs="Arial"/>
          <w:bCs/>
          <w:i/>
          <w:sz w:val="22"/>
          <w:szCs w:val="22"/>
        </w:rPr>
      </w:pPr>
      <w:r w:rsidRPr="005B54F5">
        <w:rPr>
          <w:rFonts w:ascii="Arial" w:hAnsi="Arial" w:cs="Arial"/>
          <w:bCs/>
          <w:i/>
          <w:sz w:val="22"/>
          <w:szCs w:val="22"/>
        </w:rPr>
        <w:t>GŘC ve spolupráci s dodavatelem v rámci Projektu nastavilo základní rámec procesního a</w:t>
      </w:r>
      <w:r w:rsidR="002C6333">
        <w:rPr>
          <w:rFonts w:ascii="Arial" w:hAnsi="Arial" w:cs="Arial"/>
          <w:bCs/>
          <w:i/>
          <w:sz w:val="22"/>
          <w:szCs w:val="22"/>
        </w:rPr>
        <w:t> </w:t>
      </w:r>
      <w:r w:rsidRPr="005B54F5">
        <w:rPr>
          <w:rFonts w:ascii="Arial" w:hAnsi="Arial" w:cs="Arial"/>
          <w:bCs/>
          <w:i/>
          <w:sz w:val="22"/>
          <w:szCs w:val="22"/>
        </w:rPr>
        <w:t>strategického řízení. Změny v prováděných procesech navržené dodavatelem služeb v</w:t>
      </w:r>
      <w:r w:rsidR="002C6333">
        <w:rPr>
          <w:rFonts w:ascii="Arial" w:hAnsi="Arial" w:cs="Arial"/>
          <w:bCs/>
          <w:i/>
          <w:sz w:val="22"/>
          <w:szCs w:val="22"/>
        </w:rPr>
        <w:t> </w:t>
      </w:r>
      <w:r w:rsidRPr="005B54F5">
        <w:rPr>
          <w:rFonts w:ascii="Arial" w:hAnsi="Arial" w:cs="Arial"/>
          <w:bCs/>
          <w:i/>
          <w:sz w:val="22"/>
          <w:szCs w:val="22"/>
        </w:rPr>
        <w:t xml:space="preserve">rámci Projektu, které měly zajistit zvýšení efektivnosti činností CS ČR, nebyly realizovány. Vlastní projekt i strategické materiály CS ČR reflektovaly prioritu snižování počtu a složitosti úředních úkonů jen minimálně a např. v případě oblasti procesu „spotřební daně“ nebyl dokončen strategický cíl ani iniciativa „zavedení selektivního přístupu k subjektům“. </w:t>
      </w:r>
    </w:p>
    <w:p w:rsidR="005B54F5" w:rsidRDefault="005B54F5" w:rsidP="005B54F5">
      <w:pPr>
        <w:jc w:val="both"/>
        <w:rPr>
          <w:rFonts w:ascii="Arial" w:hAnsi="Arial" w:cs="Arial"/>
          <w:bCs/>
          <w:i/>
          <w:sz w:val="22"/>
          <w:szCs w:val="22"/>
        </w:rPr>
      </w:pPr>
      <w:r w:rsidRPr="00CC2666">
        <w:rPr>
          <w:rFonts w:ascii="Arial" w:hAnsi="Arial" w:cs="Arial"/>
          <w:b/>
          <w:bCs/>
          <w:i/>
          <w:sz w:val="22"/>
          <w:szCs w:val="22"/>
        </w:rPr>
        <w:t>Ani po cca třech letech od ukončení Projektu, na který bylo vynaloženo cca 17 mil. Kč, nebyly naplněny jeho hlavní cíle, které GŘC deklarovalo v žádosti o poskytnutí finančních prostředků. Nedošlo k zefektivnění procesů v kompetenci CS ČR ani k</w:t>
      </w:r>
      <w:r w:rsidR="002C6333">
        <w:rPr>
          <w:rFonts w:ascii="Arial" w:hAnsi="Arial" w:cs="Arial"/>
          <w:b/>
          <w:bCs/>
          <w:i/>
          <w:sz w:val="22"/>
          <w:szCs w:val="22"/>
        </w:rPr>
        <w:t> </w:t>
      </w:r>
      <w:r w:rsidRPr="00CC2666">
        <w:rPr>
          <w:rFonts w:ascii="Arial" w:hAnsi="Arial" w:cs="Arial"/>
          <w:b/>
          <w:bCs/>
          <w:i/>
          <w:sz w:val="22"/>
          <w:szCs w:val="22"/>
        </w:rPr>
        <w:t>významnému zkvalitnění strategického řízení či k částečnému odbourání administrativy provedením úpravy procesů</w:t>
      </w:r>
      <w:r w:rsidRPr="005B54F5">
        <w:rPr>
          <w:rFonts w:ascii="Arial" w:hAnsi="Arial" w:cs="Arial"/>
          <w:bCs/>
          <w:i/>
          <w:sz w:val="22"/>
          <w:szCs w:val="22"/>
        </w:rPr>
        <w:t>.</w:t>
      </w:r>
      <w:r>
        <w:rPr>
          <w:rFonts w:ascii="Arial" w:hAnsi="Arial" w:cs="Arial"/>
          <w:bCs/>
          <w:i/>
          <w:sz w:val="22"/>
          <w:szCs w:val="22"/>
        </w:rPr>
        <w:t>“</w:t>
      </w:r>
    </w:p>
    <w:p w:rsidR="005B54F5" w:rsidRDefault="005B54F5" w:rsidP="005B54F5">
      <w:pPr>
        <w:jc w:val="both"/>
        <w:rPr>
          <w:rFonts w:ascii="Arial" w:hAnsi="Arial" w:cs="Arial"/>
          <w:bCs/>
          <w:i/>
          <w:sz w:val="22"/>
          <w:szCs w:val="22"/>
        </w:rPr>
      </w:pPr>
    </w:p>
    <w:p w:rsidR="005B54F5" w:rsidRPr="005B54F5" w:rsidRDefault="005B54F5" w:rsidP="005B54F5">
      <w:pPr>
        <w:jc w:val="both"/>
        <w:rPr>
          <w:rFonts w:ascii="Arial" w:hAnsi="Arial" w:cs="Arial"/>
          <w:bCs/>
          <w:iCs/>
          <w:sz w:val="22"/>
          <w:szCs w:val="22"/>
          <w:u w:val="single"/>
        </w:rPr>
      </w:pPr>
      <w:r w:rsidRPr="005B54F5">
        <w:rPr>
          <w:rFonts w:ascii="Arial" w:hAnsi="Arial" w:cs="Arial"/>
          <w:bCs/>
          <w:iCs/>
          <w:sz w:val="22"/>
          <w:szCs w:val="22"/>
          <w:u w:val="single"/>
        </w:rPr>
        <w:t>Stanovisko GŘC:</w:t>
      </w:r>
    </w:p>
    <w:p w:rsidR="009F6D04" w:rsidRPr="008875AD" w:rsidRDefault="009F6D04" w:rsidP="008875AD">
      <w:pPr>
        <w:jc w:val="both"/>
        <w:rPr>
          <w:rFonts w:ascii="Arial" w:hAnsi="Arial" w:cs="Arial"/>
          <w:bCs/>
          <w:iCs/>
          <w:sz w:val="22"/>
          <w:szCs w:val="22"/>
        </w:rPr>
      </w:pPr>
      <w:r w:rsidRPr="008875AD">
        <w:rPr>
          <w:rFonts w:ascii="Arial" w:hAnsi="Arial" w:cs="Arial"/>
          <w:bCs/>
          <w:iCs/>
          <w:sz w:val="22"/>
          <w:szCs w:val="22"/>
        </w:rPr>
        <w:t>O průběhu projektu Komplexní zavedení procesního řízení a procesní optimalizace bylo vedení CS ČR průběžně informováno prostřednictvím materiálů předkládaných na poradách. Pro MV ČR byly zpracovány monitorovací zprávy včetně závěrečné. Projekt byl dokončen v roce 2013 a tehdejší vedení CS ČR nepožadovalo zpracování speciálního hodnotícího materiálu k tomuto projektu</w:t>
      </w:r>
      <w:r w:rsidR="00A86B16">
        <w:rPr>
          <w:rFonts w:ascii="Arial" w:hAnsi="Arial" w:cs="Arial"/>
          <w:bCs/>
          <w:iCs/>
          <w:sz w:val="22"/>
          <w:szCs w:val="22"/>
        </w:rPr>
        <w:t>,</w:t>
      </w:r>
      <w:r w:rsidRPr="008875AD">
        <w:rPr>
          <w:rFonts w:ascii="Arial" w:hAnsi="Arial" w:cs="Arial"/>
          <w:bCs/>
          <w:iCs/>
          <w:sz w:val="22"/>
          <w:szCs w:val="22"/>
        </w:rPr>
        <w:t xml:space="preserve"> a proto ani nebyl předložen.</w:t>
      </w:r>
    </w:p>
    <w:p w:rsidR="009F6D04" w:rsidRPr="008875AD" w:rsidRDefault="009F6D04" w:rsidP="008875AD">
      <w:pPr>
        <w:jc w:val="both"/>
        <w:rPr>
          <w:rFonts w:ascii="Arial" w:hAnsi="Arial" w:cs="Arial"/>
          <w:bCs/>
          <w:iCs/>
          <w:sz w:val="22"/>
          <w:szCs w:val="22"/>
        </w:rPr>
      </w:pPr>
      <w:r w:rsidRPr="008875AD">
        <w:rPr>
          <w:rFonts w:ascii="Arial" w:hAnsi="Arial" w:cs="Arial"/>
          <w:bCs/>
          <w:iCs/>
          <w:sz w:val="22"/>
          <w:szCs w:val="22"/>
        </w:rPr>
        <w:t>Míra dalšího rozvoje projektových aktivit po jeho ukončení souviselo zejména se změnou vedení CS ČR v září 2014, které mělo jiné priority a preferovalo jiný systém řízení.</w:t>
      </w:r>
    </w:p>
    <w:p w:rsidR="009F6D04" w:rsidRPr="008875AD" w:rsidRDefault="009F6D04" w:rsidP="008875AD">
      <w:pPr>
        <w:jc w:val="both"/>
        <w:rPr>
          <w:rFonts w:ascii="Arial" w:hAnsi="Arial" w:cs="Arial"/>
          <w:bCs/>
          <w:iCs/>
          <w:sz w:val="22"/>
          <w:szCs w:val="22"/>
        </w:rPr>
      </w:pPr>
      <w:r w:rsidRPr="008875AD">
        <w:rPr>
          <w:rFonts w:ascii="Arial" w:hAnsi="Arial" w:cs="Arial"/>
          <w:bCs/>
          <w:iCs/>
          <w:sz w:val="22"/>
          <w:szCs w:val="22"/>
        </w:rPr>
        <w:t>Na základě úprav navržených dodavatelem v rámci projektu byl zpracován materiál pro poradu vedení GŘC, který obsahoval jednotlivá doporučení a ukládal úkoly příslušným služebním funkcionářům. Nastavené termíny se však ukázaly jako nereálné. Po změně vedení CS ČR byly stanoveny jiné priority a plnění těchto úkolů přestalo být sledováno. I tak se podařilo některé naplnit, např. zavedení kompetenčního modelu.</w:t>
      </w:r>
    </w:p>
    <w:p w:rsidR="009F6D04" w:rsidRPr="008875AD" w:rsidRDefault="009F6D04" w:rsidP="008875AD">
      <w:pPr>
        <w:jc w:val="both"/>
        <w:rPr>
          <w:rFonts w:ascii="Arial" w:hAnsi="Arial" w:cs="Arial"/>
          <w:bCs/>
          <w:iCs/>
          <w:sz w:val="22"/>
          <w:szCs w:val="22"/>
        </w:rPr>
      </w:pPr>
      <w:r w:rsidRPr="008875AD">
        <w:rPr>
          <w:rFonts w:ascii="Arial" w:hAnsi="Arial" w:cs="Arial"/>
          <w:bCs/>
          <w:iCs/>
          <w:sz w:val="22"/>
          <w:szCs w:val="22"/>
        </w:rPr>
        <w:t>Předpokládaný termín dokončení iniciativy „zavedení selektivního přístupu k subjektům“ byl stanoven na 31. prosince 2014. Ještě před jejím ukončením bylo rozhodnuto generálním ředitelem o ukončení dosavadní strategie a vytvoření nové.</w:t>
      </w:r>
    </w:p>
    <w:p w:rsidR="009F6D04" w:rsidRPr="008875AD" w:rsidRDefault="009F6D04" w:rsidP="008875AD">
      <w:pPr>
        <w:jc w:val="both"/>
        <w:rPr>
          <w:rFonts w:ascii="Arial" w:hAnsi="Arial" w:cs="Arial"/>
          <w:bCs/>
          <w:iCs/>
          <w:sz w:val="22"/>
          <w:szCs w:val="22"/>
        </w:rPr>
      </w:pPr>
      <w:r w:rsidRPr="008875AD">
        <w:rPr>
          <w:rFonts w:ascii="Arial" w:hAnsi="Arial" w:cs="Arial"/>
          <w:bCs/>
          <w:iCs/>
          <w:sz w:val="22"/>
          <w:szCs w:val="22"/>
        </w:rPr>
        <w:t>V rámci projektu se podařilo zavést principy procesního řízení do CS ČR a zkvalitnit strategické řízení.  CS ČR získala know-how, na základě kterého postupně zlepšuje svůj systém řízení a řadu nástrojů, které jsou využívány, např. metodu ABC. Je zapotřebí také zmínit, že žádná z dalších organizací státní správy podobnými instrumenty nevládne a nemá podobné údaje k dispozici.</w:t>
      </w:r>
    </w:p>
    <w:p w:rsidR="009F6D04" w:rsidRPr="008875AD" w:rsidRDefault="009F6D04" w:rsidP="008875AD">
      <w:pPr>
        <w:jc w:val="both"/>
        <w:rPr>
          <w:rFonts w:ascii="Arial" w:hAnsi="Arial" w:cs="Arial"/>
          <w:bCs/>
          <w:iCs/>
          <w:sz w:val="22"/>
          <w:szCs w:val="22"/>
        </w:rPr>
      </w:pPr>
      <w:r w:rsidRPr="008875AD">
        <w:rPr>
          <w:rFonts w:ascii="Arial" w:hAnsi="Arial" w:cs="Arial"/>
          <w:bCs/>
          <w:iCs/>
          <w:sz w:val="22"/>
          <w:szCs w:val="22"/>
        </w:rPr>
        <w:t>V Celní správě ČR se procesní řízení neustále rozvíjí a je základním prvkem systému řízení organizace.</w:t>
      </w:r>
    </w:p>
    <w:p w:rsidR="00B722D5" w:rsidRPr="008875AD" w:rsidRDefault="009F6D04" w:rsidP="009F6D04">
      <w:pPr>
        <w:jc w:val="both"/>
        <w:rPr>
          <w:rFonts w:ascii="Arial" w:hAnsi="Arial" w:cs="Arial"/>
          <w:bCs/>
          <w:iCs/>
          <w:sz w:val="22"/>
          <w:szCs w:val="22"/>
        </w:rPr>
      </w:pPr>
      <w:r w:rsidRPr="008875AD">
        <w:rPr>
          <w:rFonts w:ascii="Arial" w:hAnsi="Arial" w:cs="Arial"/>
          <w:bCs/>
          <w:iCs/>
          <w:sz w:val="22"/>
          <w:szCs w:val="22"/>
        </w:rPr>
        <w:t>V souladu s vnitřním předpisem č. 19/2015 probíhá vyhodnocování v CS ČR průběžně s</w:t>
      </w:r>
      <w:r w:rsidR="00922E71">
        <w:rPr>
          <w:rFonts w:ascii="Arial" w:hAnsi="Arial" w:cs="Arial"/>
          <w:bCs/>
          <w:iCs/>
          <w:sz w:val="22"/>
          <w:szCs w:val="22"/>
        </w:rPr>
        <w:t> </w:t>
      </w:r>
      <w:r w:rsidRPr="008875AD">
        <w:rPr>
          <w:rFonts w:ascii="Arial" w:hAnsi="Arial" w:cs="Arial"/>
          <w:bCs/>
          <w:iCs/>
          <w:sz w:val="22"/>
          <w:szCs w:val="22"/>
        </w:rPr>
        <w:t>výstupem ke konci 1. kvartálu roku následujícího po roce, kterého se vyhodnocení týká. Na základě tohoto vyhodnocení jsou stanoveny úkoly na další období.</w:t>
      </w:r>
    </w:p>
    <w:p w:rsidR="009F6D04" w:rsidRPr="005B54F5" w:rsidRDefault="009F6D04" w:rsidP="009F6D04">
      <w:pPr>
        <w:jc w:val="both"/>
        <w:rPr>
          <w:rFonts w:ascii="Arial" w:hAnsi="Arial" w:cs="Arial"/>
          <w:bCs/>
          <w:iCs/>
          <w:sz w:val="22"/>
          <w:szCs w:val="22"/>
        </w:rPr>
      </w:pPr>
    </w:p>
    <w:p w:rsidR="005B54F5" w:rsidRPr="005B54F5" w:rsidRDefault="005B54F5" w:rsidP="005B54F5">
      <w:pPr>
        <w:jc w:val="both"/>
        <w:rPr>
          <w:rFonts w:ascii="Arial" w:hAnsi="Arial" w:cs="Arial"/>
          <w:bCs/>
          <w:iCs/>
          <w:sz w:val="22"/>
          <w:szCs w:val="22"/>
        </w:rPr>
      </w:pPr>
      <w:r w:rsidRPr="005B54F5">
        <w:rPr>
          <w:rFonts w:ascii="Arial" w:hAnsi="Arial" w:cs="Arial"/>
          <w:bCs/>
          <w:iCs/>
          <w:sz w:val="22"/>
          <w:szCs w:val="22"/>
          <w:u w:val="single"/>
        </w:rPr>
        <w:t>Opatření GŘC:</w:t>
      </w:r>
    </w:p>
    <w:p w:rsidR="002C6333" w:rsidRPr="002C6333" w:rsidRDefault="002C6333" w:rsidP="002C6333">
      <w:pPr>
        <w:jc w:val="both"/>
        <w:rPr>
          <w:rFonts w:ascii="Arial" w:hAnsi="Arial" w:cs="Arial"/>
          <w:bCs/>
          <w:iCs/>
          <w:sz w:val="22"/>
          <w:szCs w:val="22"/>
        </w:rPr>
      </w:pPr>
      <w:r w:rsidRPr="002C6333">
        <w:rPr>
          <w:rFonts w:ascii="Arial" w:hAnsi="Arial" w:cs="Arial"/>
          <w:bCs/>
          <w:iCs/>
          <w:sz w:val="22"/>
          <w:szCs w:val="22"/>
        </w:rPr>
        <w:t>Vzhledem ke stanovisku GŘC opatření nepřijímá.</w:t>
      </w:r>
    </w:p>
    <w:p w:rsidR="00B722D5" w:rsidRDefault="00B722D5" w:rsidP="005B54F5">
      <w:pPr>
        <w:jc w:val="both"/>
        <w:rPr>
          <w:rFonts w:ascii="Arial" w:hAnsi="Arial" w:cs="Arial"/>
          <w:bCs/>
          <w:iCs/>
          <w:sz w:val="22"/>
          <w:szCs w:val="22"/>
        </w:rPr>
      </w:pPr>
    </w:p>
    <w:p w:rsidR="002C6333" w:rsidRPr="005B54F5" w:rsidRDefault="002C6333" w:rsidP="005B54F5">
      <w:pPr>
        <w:jc w:val="both"/>
        <w:rPr>
          <w:rFonts w:ascii="Arial" w:hAnsi="Arial" w:cs="Arial"/>
          <w:bCs/>
          <w:iCs/>
          <w:sz w:val="22"/>
          <w:szCs w:val="22"/>
        </w:rPr>
      </w:pPr>
    </w:p>
    <w:p w:rsidR="005B54F5" w:rsidRPr="005B54F5" w:rsidRDefault="005B54F5" w:rsidP="005B54F5">
      <w:pPr>
        <w:jc w:val="both"/>
        <w:rPr>
          <w:rFonts w:ascii="Arial" w:hAnsi="Arial" w:cs="Arial"/>
          <w:b/>
          <w:bCs/>
          <w:sz w:val="22"/>
          <w:szCs w:val="22"/>
        </w:rPr>
      </w:pPr>
      <w:r w:rsidRPr="005B54F5">
        <w:rPr>
          <w:rFonts w:ascii="Arial" w:hAnsi="Arial" w:cs="Arial"/>
          <w:b/>
          <w:bCs/>
          <w:sz w:val="22"/>
          <w:szCs w:val="22"/>
        </w:rPr>
        <w:t>1. Procesní řízení</w:t>
      </w:r>
    </w:p>
    <w:p w:rsidR="005B54F5" w:rsidRPr="005B54F5" w:rsidRDefault="005B54F5" w:rsidP="005B54F5">
      <w:pPr>
        <w:jc w:val="both"/>
        <w:rPr>
          <w:rFonts w:ascii="Arial" w:hAnsi="Arial" w:cs="Arial"/>
          <w:bCs/>
          <w:sz w:val="22"/>
          <w:szCs w:val="22"/>
        </w:rPr>
      </w:pPr>
      <w:r>
        <w:rPr>
          <w:rFonts w:ascii="Arial" w:hAnsi="Arial" w:cs="Arial"/>
          <w:bCs/>
          <w:sz w:val="22"/>
          <w:szCs w:val="22"/>
        </w:rPr>
        <w:t xml:space="preserve">    </w:t>
      </w:r>
      <w:r w:rsidRPr="005B54F5">
        <w:rPr>
          <w:rFonts w:ascii="Arial" w:hAnsi="Arial" w:cs="Arial"/>
          <w:bCs/>
          <w:sz w:val="22"/>
          <w:szCs w:val="22"/>
        </w:rPr>
        <w:t>(str. 18 Kontrolního závěru)</w:t>
      </w:r>
    </w:p>
    <w:p w:rsidR="005B54F5" w:rsidRDefault="005B54F5" w:rsidP="005B54F5">
      <w:pPr>
        <w:jc w:val="both"/>
        <w:rPr>
          <w:rFonts w:ascii="Arial" w:hAnsi="Arial" w:cs="Arial"/>
          <w:bCs/>
          <w:sz w:val="22"/>
          <w:szCs w:val="22"/>
        </w:rPr>
      </w:pPr>
    </w:p>
    <w:p w:rsidR="005B54F5" w:rsidRPr="005B54F5" w:rsidRDefault="005B54F5" w:rsidP="005B54F5">
      <w:pPr>
        <w:jc w:val="both"/>
        <w:rPr>
          <w:rFonts w:ascii="Arial" w:hAnsi="Arial" w:cs="Arial"/>
          <w:bCs/>
          <w:i/>
          <w:iCs/>
          <w:sz w:val="22"/>
          <w:szCs w:val="22"/>
          <w:u w:val="single"/>
        </w:rPr>
      </w:pPr>
      <w:r w:rsidRPr="005B54F5">
        <w:rPr>
          <w:rFonts w:ascii="Arial" w:hAnsi="Arial" w:cs="Arial"/>
          <w:bCs/>
          <w:i/>
          <w:iCs/>
          <w:sz w:val="22"/>
          <w:szCs w:val="22"/>
          <w:u w:val="single"/>
        </w:rPr>
        <w:t>Zjištění NKÚ:</w:t>
      </w:r>
    </w:p>
    <w:p w:rsidR="005B54F5" w:rsidRPr="005B54F5" w:rsidRDefault="005B54F5" w:rsidP="005B54F5">
      <w:pPr>
        <w:jc w:val="both"/>
        <w:rPr>
          <w:rFonts w:ascii="Arial" w:hAnsi="Arial" w:cs="Arial"/>
          <w:bCs/>
          <w:i/>
          <w:sz w:val="22"/>
          <w:szCs w:val="22"/>
        </w:rPr>
      </w:pPr>
      <w:r>
        <w:rPr>
          <w:rFonts w:ascii="Arial" w:hAnsi="Arial" w:cs="Arial"/>
          <w:bCs/>
          <w:i/>
          <w:sz w:val="22"/>
          <w:szCs w:val="22"/>
        </w:rPr>
        <w:t>„</w:t>
      </w:r>
      <w:r w:rsidRPr="005B54F5">
        <w:rPr>
          <w:rFonts w:ascii="Arial" w:hAnsi="Arial" w:cs="Arial"/>
          <w:bCs/>
          <w:i/>
          <w:sz w:val="22"/>
          <w:szCs w:val="22"/>
        </w:rPr>
        <w:t xml:space="preserve">Vlastník procesu nemá napříč CS ČR, např. na CÚ, v různých útvarech GŘC řídicí pravomoci (nemá žádná oprávnění úkolovat, řídit a kontrolovat pracovníky jiných odborů nebo přímo pracovníky celních úřadů) a nemá ani kontrolu nad částí činností v jím vlastněných procesech (rolí vlastníka je nastavování podmínek procesů, průběhu, měření apod.). Při právními předpisy pevně nastavených postupech a věcné působnosti celních orgánů (zejména CÚ) je prostor pro účinné uplatňování procesního řízení značně omezený. Realizací Projektu v řízení oblasti procesu „spotřební daně“ nedošlo k významné změně oproti do té doby účinnému liniovému řízení a nejsou zřejmé přínosy. Samotným zavedením procesního řízení do organizace CS ČR nemohlo dojít k naplnění vládní priority snížit počet a složitost úředních úkonů zatěžujících občana. </w:t>
      </w:r>
    </w:p>
    <w:p w:rsidR="005B54F5" w:rsidRPr="005B54F5" w:rsidRDefault="005B54F5" w:rsidP="005B54F5">
      <w:pPr>
        <w:jc w:val="both"/>
        <w:rPr>
          <w:rFonts w:ascii="Arial" w:hAnsi="Arial" w:cs="Arial"/>
          <w:bCs/>
          <w:i/>
          <w:sz w:val="22"/>
          <w:szCs w:val="22"/>
        </w:rPr>
      </w:pPr>
      <w:r w:rsidRPr="005B54F5">
        <w:rPr>
          <w:rFonts w:ascii="Arial" w:hAnsi="Arial" w:cs="Arial"/>
          <w:bCs/>
          <w:i/>
          <w:sz w:val="22"/>
          <w:szCs w:val="22"/>
        </w:rPr>
        <w:t>Nastavení hlavních procesů neodpovídá hlavním kompetencím dle zákona o Celní správě České republiky, nejsou alokovány konkrétní zdroje na jednotlivé oblasti procesů (agendy), což má za následek, že stále není zcela zajištěna finanční měřitelnost výkonu jednotlivých agend. Správu SPED zásadním způsobem ovlivňují analytická činnost a mobilní dohled, které jsou však v CS ČR samostatnými hlavními procesy. Ty však nejsou rozděleny na</w:t>
      </w:r>
      <w:r w:rsidR="002C6333">
        <w:rPr>
          <w:rFonts w:ascii="Arial" w:hAnsi="Arial" w:cs="Arial"/>
          <w:bCs/>
          <w:i/>
          <w:sz w:val="22"/>
          <w:szCs w:val="22"/>
        </w:rPr>
        <w:t> </w:t>
      </w:r>
      <w:r w:rsidRPr="005B54F5">
        <w:rPr>
          <w:rFonts w:ascii="Arial" w:hAnsi="Arial" w:cs="Arial"/>
          <w:bCs/>
          <w:i/>
          <w:sz w:val="22"/>
          <w:szCs w:val="22"/>
        </w:rPr>
        <w:t xml:space="preserve">subprocesy dle jednotlivých kompetencí, pro které jsou tyto procesy prováděny, není tak zřejmý podíl nákladů na SPED. Po provedení vnitřních změn v hlavních procesech by tento požadavek mohl být naplněn. </w:t>
      </w:r>
    </w:p>
    <w:p w:rsidR="005B54F5" w:rsidRPr="005B54F5" w:rsidRDefault="005B54F5" w:rsidP="005B54F5">
      <w:pPr>
        <w:jc w:val="both"/>
        <w:rPr>
          <w:rFonts w:ascii="Arial" w:hAnsi="Arial" w:cs="Arial"/>
          <w:bCs/>
          <w:i/>
          <w:sz w:val="22"/>
          <w:szCs w:val="22"/>
        </w:rPr>
      </w:pPr>
      <w:r w:rsidRPr="005B54F5">
        <w:rPr>
          <w:rFonts w:ascii="Arial" w:hAnsi="Arial" w:cs="Arial"/>
          <w:bCs/>
          <w:i/>
          <w:sz w:val="22"/>
          <w:szCs w:val="22"/>
        </w:rPr>
        <w:t xml:space="preserve">Sběr kompletních údajů o výkonnosti a odpracovaném čase dle jednotlivých procesů byl nastaven, avšak není ustálen. Sběr dat prostřednictvím dotazníků byl naposledy proveden za druhé čtvrtletí 2015 a následně byl pozastaven, některé výkonnostní ukazatele byly sledovány jen po určitou dobu. V procesním modelu správy SPED se nepromítly některé významné změny právních předpisů, které zásadně ovlivňují průběh procesů v oblasti správy SPED. Podrobný průběh procesů a standardy včetně napojení na právní a vnitřní předpisy by měly být podle GŘC provedeny v průběhu roku 2016. </w:t>
      </w:r>
    </w:p>
    <w:p w:rsidR="005B54F5" w:rsidRDefault="005B54F5" w:rsidP="005B54F5">
      <w:pPr>
        <w:jc w:val="both"/>
        <w:rPr>
          <w:rFonts w:ascii="Arial" w:hAnsi="Arial" w:cs="Arial"/>
          <w:bCs/>
          <w:i/>
          <w:sz w:val="22"/>
          <w:szCs w:val="22"/>
        </w:rPr>
      </w:pPr>
      <w:r w:rsidRPr="00CC2666">
        <w:rPr>
          <w:rFonts w:ascii="Arial" w:hAnsi="Arial" w:cs="Arial"/>
          <w:b/>
          <w:bCs/>
          <w:i/>
          <w:sz w:val="22"/>
          <w:szCs w:val="22"/>
        </w:rPr>
        <w:t>NKÚ vyhodnotil, že GŘC využilo prostředky na stanovený účel, procesní řízení integrovalo do řízení organizace, avšak proces implementace stále nebyl zcela dokončen a přínosy zavedení procesního řízení nejsou zřejmé</w:t>
      </w:r>
      <w:r w:rsidRPr="005B54F5">
        <w:rPr>
          <w:rFonts w:ascii="Arial" w:hAnsi="Arial" w:cs="Arial"/>
          <w:bCs/>
          <w:i/>
          <w:sz w:val="22"/>
          <w:szCs w:val="22"/>
        </w:rPr>
        <w:t>.</w:t>
      </w:r>
      <w:r>
        <w:rPr>
          <w:rFonts w:ascii="Arial" w:hAnsi="Arial" w:cs="Arial"/>
          <w:bCs/>
          <w:i/>
          <w:sz w:val="22"/>
          <w:szCs w:val="22"/>
        </w:rPr>
        <w:t>“</w:t>
      </w:r>
    </w:p>
    <w:p w:rsidR="005B54F5" w:rsidRDefault="005B54F5" w:rsidP="005B54F5">
      <w:pPr>
        <w:jc w:val="both"/>
        <w:rPr>
          <w:rFonts w:ascii="Arial" w:hAnsi="Arial" w:cs="Arial"/>
          <w:bCs/>
          <w:i/>
          <w:sz w:val="22"/>
          <w:szCs w:val="22"/>
        </w:rPr>
      </w:pPr>
    </w:p>
    <w:p w:rsidR="005B54F5" w:rsidRPr="005B54F5" w:rsidRDefault="005B54F5" w:rsidP="005B54F5">
      <w:pPr>
        <w:jc w:val="both"/>
        <w:rPr>
          <w:rFonts w:ascii="Arial" w:hAnsi="Arial" w:cs="Arial"/>
          <w:bCs/>
          <w:iCs/>
          <w:sz w:val="22"/>
          <w:szCs w:val="22"/>
          <w:u w:val="single"/>
        </w:rPr>
      </w:pPr>
      <w:r w:rsidRPr="005B54F5">
        <w:rPr>
          <w:rFonts w:ascii="Arial" w:hAnsi="Arial" w:cs="Arial"/>
          <w:bCs/>
          <w:iCs/>
          <w:sz w:val="22"/>
          <w:szCs w:val="22"/>
          <w:u w:val="single"/>
        </w:rPr>
        <w:t>Stanovisko GŘC:</w:t>
      </w:r>
    </w:p>
    <w:p w:rsidR="008875AD" w:rsidRPr="008875AD" w:rsidRDefault="008875AD" w:rsidP="008875AD">
      <w:pPr>
        <w:jc w:val="both"/>
        <w:rPr>
          <w:rFonts w:ascii="Arial" w:hAnsi="Arial" w:cs="Arial"/>
          <w:bCs/>
          <w:iCs/>
          <w:sz w:val="22"/>
          <w:szCs w:val="22"/>
        </w:rPr>
      </w:pPr>
      <w:r w:rsidRPr="008875AD">
        <w:rPr>
          <w:rFonts w:ascii="Arial" w:hAnsi="Arial" w:cs="Arial"/>
          <w:bCs/>
          <w:iCs/>
          <w:sz w:val="22"/>
          <w:szCs w:val="22"/>
        </w:rPr>
        <w:t>Jak jsme již uvedli v námitkách ke kontrolnímu protokolu, zodpovědnost za nastavení procesu má jednoznačně vlastník procesu, který metodicky upravuje postupy v rámci procesu. Ředitel celního úřadu je zodpovědný za to, že proces bude na jeho útvaru prováděn v souladu s tím, jak jej metodicky upravil vlastník procesu. Zákonem stanovená věcná příslušnost v žádném případě není v rozporu s principy procesního řízení. Právě naopak, právní úprava vymezuje základní rámec pro jeho uplatnění (stanovuje hlavní oblasti procesů Celní správy ČR).</w:t>
      </w:r>
    </w:p>
    <w:p w:rsidR="008875AD" w:rsidRPr="008875AD" w:rsidRDefault="008875AD" w:rsidP="008875AD">
      <w:pPr>
        <w:jc w:val="both"/>
        <w:rPr>
          <w:rFonts w:ascii="Arial" w:hAnsi="Arial" w:cs="Arial"/>
          <w:bCs/>
          <w:iCs/>
          <w:sz w:val="22"/>
          <w:szCs w:val="22"/>
        </w:rPr>
      </w:pPr>
      <w:r w:rsidRPr="008875AD">
        <w:rPr>
          <w:rFonts w:ascii="Arial" w:hAnsi="Arial" w:cs="Arial"/>
          <w:bCs/>
          <w:iCs/>
          <w:sz w:val="22"/>
          <w:szCs w:val="22"/>
        </w:rPr>
        <w:t>Nastavení hlavních procesů CS ČR vychází ze zákonných ustanovení. Mimo takto stanovený rámec se nelze odchýlit, byť by to znamenalo nezpochybnitelné ulehčení pro občany. Nelze tak očekávat, že samotné zavedení procesního řízení přinese takové změny v hlavních procesech. V případě změn legislativy umožňuje procesní řízení jejich snadnější implementaci.</w:t>
      </w:r>
    </w:p>
    <w:p w:rsidR="008875AD" w:rsidRPr="008875AD" w:rsidRDefault="008875AD" w:rsidP="008875AD">
      <w:pPr>
        <w:jc w:val="both"/>
        <w:rPr>
          <w:rFonts w:ascii="Arial" w:hAnsi="Arial" w:cs="Arial"/>
          <w:bCs/>
          <w:iCs/>
          <w:sz w:val="22"/>
          <w:szCs w:val="22"/>
        </w:rPr>
      </w:pPr>
      <w:r w:rsidRPr="008875AD">
        <w:rPr>
          <w:rFonts w:ascii="Arial" w:hAnsi="Arial" w:cs="Arial"/>
          <w:bCs/>
          <w:iCs/>
          <w:sz w:val="22"/>
          <w:szCs w:val="22"/>
        </w:rPr>
        <w:t>Jako hlavní procesy jsou v CS ČR nastaveny celnictví, spotřební daně, pátrání, správa příjmů a vymáhání, řízení dohledu a ostatní kontrolní činnosti, analytické činnosti a ostatní správní činnosti. Dle našeho názoru jsou tak zcela pokryty její stěžejní kompetence. Minulý generální ředitel pozastavil sběr dat formou dotazníků, která sloužila jako vstup pro metodu sledování nákladů ABC. Tato metoda sleduje náklady podle jednotlivých procesů. V současné době je již rozhodnuto o obnovení sběru dat.</w:t>
      </w:r>
    </w:p>
    <w:p w:rsidR="008875AD" w:rsidRPr="008875AD" w:rsidRDefault="008875AD" w:rsidP="008875AD">
      <w:pPr>
        <w:jc w:val="both"/>
        <w:rPr>
          <w:rFonts w:ascii="Arial" w:hAnsi="Arial" w:cs="Arial"/>
          <w:bCs/>
          <w:iCs/>
          <w:sz w:val="22"/>
          <w:szCs w:val="22"/>
        </w:rPr>
      </w:pPr>
      <w:r w:rsidRPr="008875AD">
        <w:rPr>
          <w:rFonts w:ascii="Arial" w:hAnsi="Arial" w:cs="Arial"/>
          <w:bCs/>
          <w:iCs/>
          <w:sz w:val="22"/>
          <w:szCs w:val="22"/>
        </w:rPr>
        <w:t>Pro sledování celkových nákladů, které se vztahují ke správě spotřebních daní, není</w:t>
      </w:r>
      <w:r w:rsidR="00A86B16">
        <w:rPr>
          <w:rFonts w:ascii="Arial" w:hAnsi="Arial" w:cs="Arial"/>
          <w:bCs/>
          <w:iCs/>
          <w:sz w:val="22"/>
          <w:szCs w:val="22"/>
        </w:rPr>
        <w:t>,</w:t>
      </w:r>
      <w:r w:rsidRPr="008875AD">
        <w:rPr>
          <w:rFonts w:ascii="Arial" w:hAnsi="Arial" w:cs="Arial"/>
          <w:bCs/>
          <w:iCs/>
          <w:sz w:val="22"/>
          <w:szCs w:val="22"/>
        </w:rPr>
        <w:t xml:space="preserve"> NKÚ popsané rozdělení</w:t>
      </w:r>
      <w:r w:rsidR="00A86B16">
        <w:rPr>
          <w:rFonts w:ascii="Arial" w:hAnsi="Arial" w:cs="Arial"/>
          <w:bCs/>
          <w:iCs/>
          <w:sz w:val="22"/>
          <w:szCs w:val="22"/>
        </w:rPr>
        <w:t>,</w:t>
      </w:r>
      <w:r w:rsidRPr="008875AD">
        <w:rPr>
          <w:rFonts w:ascii="Arial" w:hAnsi="Arial" w:cs="Arial"/>
          <w:bCs/>
          <w:iCs/>
          <w:sz w:val="22"/>
          <w:szCs w:val="22"/>
        </w:rPr>
        <w:t xml:space="preserve"> potřebné. Od příštího roku dojde k obnovení sběru dat pomocí dotazníků, které slouží pro stanovení nákladů pomocí metody ABC a pro výpočet optimalizace lidských zdrojů.</w:t>
      </w:r>
    </w:p>
    <w:p w:rsidR="008875AD" w:rsidRPr="008875AD" w:rsidRDefault="008875AD" w:rsidP="008875AD">
      <w:pPr>
        <w:jc w:val="both"/>
        <w:rPr>
          <w:rFonts w:ascii="Arial" w:hAnsi="Arial" w:cs="Arial"/>
          <w:bCs/>
          <w:iCs/>
          <w:sz w:val="22"/>
          <w:szCs w:val="22"/>
        </w:rPr>
      </w:pPr>
      <w:r w:rsidRPr="008875AD">
        <w:rPr>
          <w:rFonts w:ascii="Arial" w:hAnsi="Arial" w:cs="Arial"/>
          <w:bCs/>
          <w:iCs/>
          <w:sz w:val="22"/>
          <w:szCs w:val="22"/>
        </w:rPr>
        <w:t xml:space="preserve">Podle potřeb vedení CS </w:t>
      </w:r>
      <w:r w:rsidR="00A86B16" w:rsidRPr="00A86B16">
        <w:rPr>
          <w:rFonts w:ascii="Arial" w:hAnsi="Arial" w:cs="Arial"/>
          <w:bCs/>
          <w:iCs/>
          <w:sz w:val="22"/>
          <w:szCs w:val="22"/>
        </w:rPr>
        <w:t xml:space="preserve">ČR </w:t>
      </w:r>
      <w:r w:rsidRPr="008875AD">
        <w:rPr>
          <w:rFonts w:ascii="Arial" w:hAnsi="Arial" w:cs="Arial"/>
          <w:bCs/>
          <w:iCs/>
          <w:sz w:val="22"/>
          <w:szCs w:val="22"/>
        </w:rPr>
        <w:t xml:space="preserve">a možností </w:t>
      </w:r>
      <w:r w:rsidR="00A86B16">
        <w:rPr>
          <w:rFonts w:ascii="Arial" w:hAnsi="Arial" w:cs="Arial"/>
          <w:bCs/>
          <w:iCs/>
          <w:sz w:val="22"/>
          <w:szCs w:val="22"/>
        </w:rPr>
        <w:t>CS</w:t>
      </w:r>
      <w:r w:rsidRPr="008875AD">
        <w:rPr>
          <w:rFonts w:ascii="Arial" w:hAnsi="Arial" w:cs="Arial"/>
          <w:bCs/>
          <w:iCs/>
          <w:sz w:val="22"/>
          <w:szCs w:val="22"/>
        </w:rPr>
        <w:t xml:space="preserve"> </w:t>
      </w:r>
      <w:r w:rsidR="00A86B16" w:rsidRPr="00A86B16">
        <w:rPr>
          <w:rFonts w:ascii="Arial" w:hAnsi="Arial" w:cs="Arial"/>
          <w:bCs/>
          <w:iCs/>
          <w:sz w:val="22"/>
          <w:szCs w:val="22"/>
        </w:rPr>
        <w:t xml:space="preserve">ČR </w:t>
      </w:r>
      <w:r w:rsidRPr="008875AD">
        <w:rPr>
          <w:rFonts w:ascii="Arial" w:hAnsi="Arial" w:cs="Arial"/>
          <w:bCs/>
          <w:iCs/>
          <w:sz w:val="22"/>
          <w:szCs w:val="22"/>
        </w:rPr>
        <w:t>bude procesní řízení dále kontinuálně rozvíjeno s přihlédnutím k současným trendům rozvoje veřejné správy. Procesy budou dále optimalizovány, standardizovány a nadále bude sledována jejich výkonnost a nákladovost.</w:t>
      </w:r>
    </w:p>
    <w:p w:rsidR="00B722D5" w:rsidRPr="008875AD" w:rsidRDefault="008875AD" w:rsidP="008875AD">
      <w:pPr>
        <w:jc w:val="both"/>
        <w:rPr>
          <w:rFonts w:ascii="Arial" w:hAnsi="Arial" w:cs="Arial"/>
          <w:bCs/>
          <w:iCs/>
          <w:sz w:val="22"/>
          <w:szCs w:val="22"/>
        </w:rPr>
      </w:pPr>
      <w:r w:rsidRPr="008875AD">
        <w:rPr>
          <w:rFonts w:ascii="Arial" w:hAnsi="Arial" w:cs="Arial"/>
          <w:bCs/>
          <w:iCs/>
          <w:sz w:val="22"/>
          <w:szCs w:val="22"/>
        </w:rPr>
        <w:t>V souladu s vnitřním předpisem probíhá vyhodnocování v CS ČR průběžně s výstupem ke</w:t>
      </w:r>
      <w:r w:rsidR="00922E71">
        <w:rPr>
          <w:rFonts w:ascii="Arial" w:hAnsi="Arial" w:cs="Arial"/>
          <w:bCs/>
          <w:iCs/>
          <w:sz w:val="22"/>
          <w:szCs w:val="22"/>
        </w:rPr>
        <w:t> </w:t>
      </w:r>
      <w:r w:rsidRPr="008875AD">
        <w:rPr>
          <w:rFonts w:ascii="Arial" w:hAnsi="Arial" w:cs="Arial"/>
          <w:bCs/>
          <w:iCs/>
          <w:sz w:val="22"/>
          <w:szCs w:val="22"/>
        </w:rPr>
        <w:t>konci 1. kvartálu roku následujícího po roce, kterého se vyhodnocení týká. Na základě tohoto vyhodnocení jsou stanoveny úkoly na další období.</w:t>
      </w:r>
    </w:p>
    <w:p w:rsidR="00F22E17" w:rsidRPr="005B54F5" w:rsidRDefault="00F22E17" w:rsidP="008875AD">
      <w:pPr>
        <w:jc w:val="both"/>
        <w:rPr>
          <w:rFonts w:ascii="Arial" w:hAnsi="Arial" w:cs="Arial"/>
          <w:bCs/>
          <w:iCs/>
          <w:sz w:val="22"/>
          <w:szCs w:val="22"/>
        </w:rPr>
      </w:pPr>
    </w:p>
    <w:p w:rsidR="005B54F5" w:rsidRPr="005B54F5" w:rsidRDefault="005B54F5" w:rsidP="005B54F5">
      <w:pPr>
        <w:jc w:val="both"/>
        <w:rPr>
          <w:rFonts w:ascii="Arial" w:hAnsi="Arial" w:cs="Arial"/>
          <w:bCs/>
          <w:iCs/>
          <w:sz w:val="22"/>
          <w:szCs w:val="22"/>
        </w:rPr>
      </w:pPr>
      <w:r w:rsidRPr="005B54F5">
        <w:rPr>
          <w:rFonts w:ascii="Arial" w:hAnsi="Arial" w:cs="Arial"/>
          <w:bCs/>
          <w:iCs/>
          <w:sz w:val="22"/>
          <w:szCs w:val="22"/>
          <w:u w:val="single"/>
        </w:rPr>
        <w:t>Opatření GŘC:</w:t>
      </w:r>
    </w:p>
    <w:p w:rsidR="002C6333" w:rsidRDefault="00122E1C" w:rsidP="002C6333">
      <w:pPr>
        <w:jc w:val="both"/>
        <w:rPr>
          <w:rFonts w:ascii="Arial" w:hAnsi="Arial" w:cs="Arial"/>
          <w:bCs/>
          <w:iCs/>
          <w:sz w:val="22"/>
          <w:szCs w:val="22"/>
        </w:rPr>
      </w:pPr>
      <w:r w:rsidRPr="00122E1C">
        <w:rPr>
          <w:rFonts w:ascii="Arial" w:hAnsi="Arial" w:cs="Arial"/>
          <w:bCs/>
          <w:iCs/>
          <w:sz w:val="22"/>
          <w:szCs w:val="22"/>
        </w:rPr>
        <w:t>V roce 2017 bude obnoven sběr dat pomocí dotazníku</w:t>
      </w:r>
      <w:r w:rsidR="002C6333" w:rsidRPr="002C6333">
        <w:rPr>
          <w:rFonts w:ascii="Arial" w:hAnsi="Arial" w:cs="Arial"/>
          <w:bCs/>
          <w:iCs/>
          <w:sz w:val="22"/>
          <w:szCs w:val="22"/>
        </w:rPr>
        <w:t>.</w:t>
      </w:r>
    </w:p>
    <w:p w:rsidR="00F22E17" w:rsidRDefault="00F22E17" w:rsidP="002C6333">
      <w:pPr>
        <w:jc w:val="both"/>
        <w:rPr>
          <w:rFonts w:ascii="Arial" w:hAnsi="Arial" w:cs="Arial"/>
          <w:bCs/>
          <w:iCs/>
          <w:sz w:val="22"/>
          <w:szCs w:val="22"/>
          <w:u w:val="single"/>
        </w:rPr>
      </w:pPr>
    </w:p>
    <w:p w:rsidR="00122E1C" w:rsidRPr="00122E1C" w:rsidRDefault="00122E1C" w:rsidP="002C6333">
      <w:pPr>
        <w:jc w:val="both"/>
        <w:rPr>
          <w:rFonts w:ascii="Arial" w:hAnsi="Arial" w:cs="Arial"/>
          <w:bCs/>
          <w:iCs/>
          <w:sz w:val="22"/>
          <w:szCs w:val="22"/>
          <w:u w:val="single"/>
        </w:rPr>
      </w:pPr>
      <w:r w:rsidRPr="00122E1C">
        <w:rPr>
          <w:rFonts w:ascii="Arial" w:hAnsi="Arial" w:cs="Arial"/>
          <w:bCs/>
          <w:iCs/>
          <w:sz w:val="22"/>
          <w:szCs w:val="22"/>
          <w:u w:val="single"/>
        </w:rPr>
        <w:t>Termín:</w:t>
      </w:r>
      <w:r w:rsidRPr="00122E1C">
        <w:rPr>
          <w:rFonts w:ascii="Arial" w:hAnsi="Arial" w:cs="Arial"/>
          <w:bCs/>
          <w:iCs/>
          <w:sz w:val="22"/>
          <w:szCs w:val="22"/>
        </w:rPr>
        <w:t xml:space="preserve"> 1. </w:t>
      </w:r>
      <w:r w:rsidR="00122432">
        <w:rPr>
          <w:rFonts w:ascii="Arial" w:hAnsi="Arial" w:cs="Arial"/>
          <w:bCs/>
          <w:iCs/>
          <w:sz w:val="22"/>
          <w:szCs w:val="22"/>
        </w:rPr>
        <w:t>3</w:t>
      </w:r>
      <w:r w:rsidRPr="00122E1C">
        <w:rPr>
          <w:rFonts w:ascii="Arial" w:hAnsi="Arial" w:cs="Arial"/>
          <w:bCs/>
          <w:iCs/>
          <w:sz w:val="22"/>
          <w:szCs w:val="22"/>
        </w:rPr>
        <w:t>. 2017</w:t>
      </w:r>
    </w:p>
    <w:p w:rsidR="00122E1C" w:rsidRDefault="00122E1C" w:rsidP="002C6333">
      <w:pPr>
        <w:jc w:val="both"/>
        <w:rPr>
          <w:rFonts w:ascii="Arial" w:hAnsi="Arial" w:cs="Arial"/>
          <w:bCs/>
          <w:iCs/>
          <w:sz w:val="22"/>
          <w:szCs w:val="22"/>
        </w:rPr>
      </w:pPr>
    </w:p>
    <w:p w:rsidR="00F22E17" w:rsidRDefault="00F22E17" w:rsidP="002C6333">
      <w:pPr>
        <w:jc w:val="both"/>
        <w:rPr>
          <w:rFonts w:ascii="Arial" w:hAnsi="Arial" w:cs="Arial"/>
          <w:bCs/>
          <w:iCs/>
          <w:sz w:val="22"/>
          <w:szCs w:val="22"/>
        </w:rPr>
      </w:pPr>
    </w:p>
    <w:p w:rsidR="00122E1C" w:rsidRPr="00122E1C" w:rsidRDefault="00122E1C" w:rsidP="00122E1C">
      <w:pPr>
        <w:jc w:val="both"/>
        <w:rPr>
          <w:rFonts w:ascii="Arial" w:hAnsi="Arial" w:cs="Arial"/>
          <w:bCs/>
          <w:iCs/>
          <w:sz w:val="22"/>
          <w:szCs w:val="22"/>
        </w:rPr>
      </w:pPr>
      <w:r w:rsidRPr="00122E1C">
        <w:rPr>
          <w:rFonts w:ascii="Arial" w:hAnsi="Arial" w:cs="Arial"/>
          <w:bCs/>
          <w:iCs/>
          <w:sz w:val="22"/>
          <w:szCs w:val="22"/>
          <w:u w:val="single"/>
        </w:rPr>
        <w:t>Opatření GŘC:</w:t>
      </w:r>
    </w:p>
    <w:p w:rsidR="00122E1C" w:rsidRDefault="00F22E17" w:rsidP="00122E1C">
      <w:pPr>
        <w:jc w:val="both"/>
        <w:rPr>
          <w:rFonts w:ascii="Arial" w:hAnsi="Arial" w:cs="Arial"/>
          <w:bCs/>
          <w:iCs/>
          <w:sz w:val="22"/>
          <w:szCs w:val="22"/>
        </w:rPr>
      </w:pPr>
      <w:r w:rsidRPr="00F22E17">
        <w:rPr>
          <w:rFonts w:ascii="Arial" w:hAnsi="Arial" w:cs="Arial"/>
          <w:bCs/>
          <w:iCs/>
          <w:sz w:val="22"/>
          <w:szCs w:val="22"/>
        </w:rPr>
        <w:t>Bude provedena úprava systému měření nákladovosti tak, aby bylo zřejmé, pro jaké procesy jsou jednotlivé analýzy poskytovány včetně zařazení nákladů těchto analýz k procesům, které je využívají.</w:t>
      </w:r>
    </w:p>
    <w:p w:rsidR="00F22E17" w:rsidRDefault="00F22E17" w:rsidP="00122E1C">
      <w:pPr>
        <w:jc w:val="both"/>
        <w:rPr>
          <w:rFonts w:ascii="Arial" w:hAnsi="Arial" w:cs="Arial"/>
          <w:bCs/>
          <w:iCs/>
          <w:sz w:val="22"/>
          <w:szCs w:val="22"/>
          <w:u w:val="single"/>
        </w:rPr>
      </w:pPr>
    </w:p>
    <w:p w:rsidR="00122E1C" w:rsidRPr="00122E1C" w:rsidRDefault="00122E1C" w:rsidP="00122E1C">
      <w:pPr>
        <w:jc w:val="both"/>
        <w:rPr>
          <w:rFonts w:ascii="Arial" w:hAnsi="Arial" w:cs="Arial"/>
          <w:bCs/>
          <w:iCs/>
          <w:sz w:val="22"/>
          <w:szCs w:val="22"/>
          <w:u w:val="single"/>
        </w:rPr>
      </w:pPr>
      <w:r w:rsidRPr="00122E1C">
        <w:rPr>
          <w:rFonts w:ascii="Arial" w:hAnsi="Arial" w:cs="Arial"/>
          <w:bCs/>
          <w:iCs/>
          <w:sz w:val="22"/>
          <w:szCs w:val="22"/>
          <w:u w:val="single"/>
        </w:rPr>
        <w:t>Termín:</w:t>
      </w:r>
      <w:r w:rsidRPr="00122E1C">
        <w:rPr>
          <w:rFonts w:ascii="Arial" w:hAnsi="Arial" w:cs="Arial"/>
          <w:bCs/>
          <w:iCs/>
          <w:sz w:val="22"/>
          <w:szCs w:val="22"/>
        </w:rPr>
        <w:t xml:space="preserve"> </w:t>
      </w:r>
      <w:r w:rsidR="00F22E17" w:rsidRPr="00F22E17">
        <w:rPr>
          <w:rFonts w:ascii="Arial" w:hAnsi="Arial" w:cs="Arial"/>
          <w:bCs/>
          <w:iCs/>
          <w:sz w:val="22"/>
          <w:szCs w:val="22"/>
        </w:rPr>
        <w:t>31. 12. 2017</w:t>
      </w:r>
    </w:p>
    <w:p w:rsidR="00122E1C" w:rsidRDefault="00122E1C" w:rsidP="002C6333">
      <w:pPr>
        <w:jc w:val="both"/>
        <w:rPr>
          <w:rFonts w:ascii="Arial" w:hAnsi="Arial" w:cs="Arial"/>
          <w:bCs/>
          <w:iCs/>
          <w:sz w:val="22"/>
          <w:szCs w:val="22"/>
        </w:rPr>
      </w:pPr>
    </w:p>
    <w:p w:rsidR="00F22E17" w:rsidRDefault="00F22E17" w:rsidP="002C6333">
      <w:pPr>
        <w:jc w:val="both"/>
        <w:rPr>
          <w:rFonts w:ascii="Arial" w:hAnsi="Arial" w:cs="Arial"/>
          <w:bCs/>
          <w:iCs/>
          <w:sz w:val="22"/>
          <w:szCs w:val="22"/>
        </w:rPr>
      </w:pPr>
    </w:p>
    <w:p w:rsidR="00122E1C" w:rsidRPr="00122E1C" w:rsidRDefault="00122E1C" w:rsidP="00122E1C">
      <w:pPr>
        <w:jc w:val="both"/>
        <w:rPr>
          <w:rFonts w:ascii="Arial" w:hAnsi="Arial" w:cs="Arial"/>
          <w:bCs/>
          <w:iCs/>
          <w:sz w:val="22"/>
          <w:szCs w:val="22"/>
        </w:rPr>
      </w:pPr>
      <w:r w:rsidRPr="00122E1C">
        <w:rPr>
          <w:rFonts w:ascii="Arial" w:hAnsi="Arial" w:cs="Arial"/>
          <w:bCs/>
          <w:iCs/>
          <w:sz w:val="22"/>
          <w:szCs w:val="22"/>
          <w:u w:val="single"/>
        </w:rPr>
        <w:t>Opatření GŘC:</w:t>
      </w:r>
    </w:p>
    <w:p w:rsidR="00122E1C" w:rsidRPr="00122E1C" w:rsidRDefault="00F22E17" w:rsidP="00122E1C">
      <w:pPr>
        <w:jc w:val="both"/>
        <w:rPr>
          <w:rFonts w:ascii="Arial" w:hAnsi="Arial" w:cs="Arial"/>
          <w:bCs/>
          <w:iCs/>
          <w:sz w:val="22"/>
          <w:szCs w:val="22"/>
        </w:rPr>
      </w:pPr>
      <w:r w:rsidRPr="00F22E17">
        <w:rPr>
          <w:rFonts w:ascii="Arial" w:hAnsi="Arial" w:cs="Arial"/>
          <w:bCs/>
          <w:iCs/>
          <w:sz w:val="22"/>
          <w:szCs w:val="22"/>
        </w:rPr>
        <w:t>CS ČR bude v roce 2017 realizovat další kroky posilující implementaci PŘ do systému řízení CS, bude zohledněno mj. i v novém vnitřním předpisu upravujícímu oblast procesního řízení</w:t>
      </w:r>
      <w:r w:rsidR="00122E1C" w:rsidRPr="00122E1C">
        <w:rPr>
          <w:rFonts w:ascii="Arial" w:hAnsi="Arial" w:cs="Arial"/>
          <w:bCs/>
          <w:iCs/>
          <w:sz w:val="22"/>
          <w:szCs w:val="22"/>
        </w:rPr>
        <w:t>.</w:t>
      </w:r>
    </w:p>
    <w:p w:rsidR="00122E1C" w:rsidRDefault="00122E1C" w:rsidP="00122E1C">
      <w:pPr>
        <w:jc w:val="both"/>
        <w:rPr>
          <w:rFonts w:ascii="Arial" w:hAnsi="Arial" w:cs="Arial"/>
          <w:bCs/>
          <w:iCs/>
          <w:sz w:val="22"/>
          <w:szCs w:val="22"/>
          <w:u w:val="single"/>
        </w:rPr>
      </w:pPr>
    </w:p>
    <w:p w:rsidR="00122E1C" w:rsidRPr="00122E1C" w:rsidRDefault="00122E1C" w:rsidP="00122E1C">
      <w:pPr>
        <w:jc w:val="both"/>
        <w:rPr>
          <w:rFonts w:ascii="Arial" w:hAnsi="Arial" w:cs="Arial"/>
          <w:bCs/>
          <w:iCs/>
          <w:sz w:val="22"/>
          <w:szCs w:val="22"/>
          <w:u w:val="single"/>
        </w:rPr>
      </w:pPr>
      <w:r w:rsidRPr="00122E1C">
        <w:rPr>
          <w:rFonts w:ascii="Arial" w:hAnsi="Arial" w:cs="Arial"/>
          <w:bCs/>
          <w:iCs/>
          <w:sz w:val="22"/>
          <w:szCs w:val="22"/>
          <w:u w:val="single"/>
        </w:rPr>
        <w:t>Termín:</w:t>
      </w:r>
      <w:r w:rsidRPr="00122E1C">
        <w:rPr>
          <w:rFonts w:ascii="Arial" w:hAnsi="Arial" w:cs="Arial"/>
          <w:bCs/>
          <w:iCs/>
          <w:sz w:val="22"/>
          <w:szCs w:val="22"/>
        </w:rPr>
        <w:t xml:space="preserve"> </w:t>
      </w:r>
      <w:r w:rsidR="00F22E17" w:rsidRPr="00F22E17">
        <w:rPr>
          <w:rFonts w:ascii="Arial" w:hAnsi="Arial" w:cs="Arial"/>
          <w:bCs/>
          <w:iCs/>
          <w:sz w:val="22"/>
          <w:szCs w:val="22"/>
        </w:rPr>
        <w:t>30. 6. 2017</w:t>
      </w:r>
    </w:p>
    <w:p w:rsidR="00122E1C" w:rsidRPr="002C6333" w:rsidRDefault="00122E1C" w:rsidP="002C6333">
      <w:pPr>
        <w:jc w:val="both"/>
        <w:rPr>
          <w:rFonts w:ascii="Arial" w:hAnsi="Arial" w:cs="Arial"/>
          <w:bCs/>
          <w:iCs/>
          <w:sz w:val="22"/>
          <w:szCs w:val="22"/>
        </w:rPr>
      </w:pPr>
    </w:p>
    <w:p w:rsidR="005B54F5" w:rsidRDefault="005B54F5" w:rsidP="005B54F5">
      <w:pPr>
        <w:jc w:val="both"/>
        <w:rPr>
          <w:rFonts w:ascii="Arial" w:hAnsi="Arial" w:cs="Arial"/>
          <w:bCs/>
          <w:sz w:val="22"/>
          <w:szCs w:val="22"/>
        </w:rPr>
      </w:pPr>
    </w:p>
    <w:p w:rsidR="005B54F5" w:rsidRPr="005B54F5" w:rsidRDefault="005B54F5" w:rsidP="005B54F5">
      <w:pPr>
        <w:jc w:val="both"/>
        <w:rPr>
          <w:rFonts w:ascii="Arial" w:hAnsi="Arial" w:cs="Arial"/>
          <w:b/>
          <w:bCs/>
          <w:sz w:val="22"/>
          <w:szCs w:val="22"/>
        </w:rPr>
      </w:pPr>
      <w:r w:rsidRPr="005B54F5">
        <w:rPr>
          <w:rFonts w:ascii="Arial" w:hAnsi="Arial" w:cs="Arial"/>
          <w:b/>
          <w:bCs/>
          <w:sz w:val="22"/>
          <w:szCs w:val="22"/>
        </w:rPr>
        <w:t>2. Strategické řízení</w:t>
      </w:r>
    </w:p>
    <w:p w:rsidR="005B54F5" w:rsidRPr="005B54F5" w:rsidRDefault="005B54F5" w:rsidP="005B54F5">
      <w:pPr>
        <w:jc w:val="both"/>
        <w:rPr>
          <w:rFonts w:ascii="Arial" w:hAnsi="Arial" w:cs="Arial"/>
          <w:bCs/>
          <w:sz w:val="22"/>
          <w:szCs w:val="22"/>
        </w:rPr>
      </w:pPr>
      <w:r>
        <w:rPr>
          <w:rFonts w:ascii="Arial" w:hAnsi="Arial" w:cs="Arial"/>
          <w:bCs/>
          <w:sz w:val="22"/>
          <w:szCs w:val="22"/>
        </w:rPr>
        <w:t xml:space="preserve">    </w:t>
      </w:r>
      <w:r w:rsidRPr="005B54F5">
        <w:rPr>
          <w:rFonts w:ascii="Arial" w:hAnsi="Arial" w:cs="Arial"/>
          <w:bCs/>
          <w:sz w:val="22"/>
          <w:szCs w:val="22"/>
        </w:rPr>
        <w:t>(str. 19 Kontrolního závěru)</w:t>
      </w:r>
    </w:p>
    <w:p w:rsidR="005B54F5" w:rsidRDefault="005B54F5" w:rsidP="005B54F5">
      <w:pPr>
        <w:jc w:val="both"/>
        <w:rPr>
          <w:rFonts w:ascii="Arial" w:hAnsi="Arial" w:cs="Arial"/>
          <w:bCs/>
          <w:sz w:val="22"/>
          <w:szCs w:val="22"/>
        </w:rPr>
      </w:pPr>
    </w:p>
    <w:p w:rsidR="005B54F5" w:rsidRPr="005B54F5" w:rsidRDefault="005B54F5" w:rsidP="005B54F5">
      <w:pPr>
        <w:jc w:val="both"/>
        <w:rPr>
          <w:rFonts w:ascii="Arial" w:hAnsi="Arial" w:cs="Arial"/>
          <w:bCs/>
          <w:i/>
          <w:iCs/>
          <w:sz w:val="22"/>
          <w:szCs w:val="22"/>
          <w:u w:val="single"/>
        </w:rPr>
      </w:pPr>
      <w:r w:rsidRPr="005B54F5">
        <w:rPr>
          <w:rFonts w:ascii="Arial" w:hAnsi="Arial" w:cs="Arial"/>
          <w:bCs/>
          <w:i/>
          <w:iCs/>
          <w:sz w:val="22"/>
          <w:szCs w:val="22"/>
          <w:u w:val="single"/>
        </w:rPr>
        <w:t>Zjištění NKÚ:</w:t>
      </w:r>
    </w:p>
    <w:p w:rsidR="005B54F5" w:rsidRPr="005B54F5" w:rsidRDefault="005B54F5" w:rsidP="005B54F5">
      <w:pPr>
        <w:jc w:val="both"/>
        <w:rPr>
          <w:rFonts w:ascii="Arial" w:hAnsi="Arial" w:cs="Arial"/>
          <w:bCs/>
          <w:i/>
          <w:sz w:val="22"/>
          <w:szCs w:val="22"/>
        </w:rPr>
      </w:pPr>
      <w:r>
        <w:rPr>
          <w:rFonts w:ascii="Arial" w:hAnsi="Arial" w:cs="Arial"/>
          <w:bCs/>
          <w:i/>
          <w:sz w:val="22"/>
          <w:szCs w:val="22"/>
        </w:rPr>
        <w:t>„</w:t>
      </w:r>
      <w:r w:rsidRPr="005B54F5">
        <w:rPr>
          <w:rFonts w:ascii="Arial" w:hAnsi="Arial" w:cs="Arial"/>
          <w:bCs/>
          <w:i/>
          <w:sz w:val="22"/>
          <w:szCs w:val="22"/>
        </w:rPr>
        <w:t>Strategie CS ČR na období let 2013</w:t>
      </w:r>
      <w:r w:rsidR="002C6333">
        <w:rPr>
          <w:rFonts w:ascii="Arial" w:hAnsi="Arial" w:cs="Arial"/>
          <w:bCs/>
          <w:i/>
          <w:sz w:val="22"/>
          <w:szCs w:val="22"/>
        </w:rPr>
        <w:t xml:space="preserve"> </w:t>
      </w:r>
      <w:r w:rsidRPr="005B54F5">
        <w:rPr>
          <w:rFonts w:ascii="Arial" w:hAnsi="Arial" w:cs="Arial"/>
          <w:bCs/>
          <w:i/>
          <w:sz w:val="22"/>
          <w:szCs w:val="22"/>
        </w:rPr>
        <w:t>–</w:t>
      </w:r>
      <w:r w:rsidR="002C6333">
        <w:rPr>
          <w:rFonts w:ascii="Arial" w:hAnsi="Arial" w:cs="Arial"/>
          <w:bCs/>
          <w:i/>
          <w:sz w:val="22"/>
          <w:szCs w:val="22"/>
        </w:rPr>
        <w:t xml:space="preserve"> </w:t>
      </w:r>
      <w:r w:rsidRPr="005B54F5">
        <w:rPr>
          <w:rFonts w:ascii="Arial" w:hAnsi="Arial" w:cs="Arial"/>
          <w:bCs/>
          <w:i/>
          <w:sz w:val="22"/>
          <w:szCs w:val="22"/>
        </w:rPr>
        <w:t>2017 nesplňovala základní parametry strategického řízení. Cíle, iniciativy a výkonové ukazatele nebyly plně v souladu se zásadami SMART (především nebyly měřitelné, realistické a specifické), příp. jako cíle byly stanoveny aktivity, které byly běžnou náplní činnosti CS ČR (např. iniciativa „poskytování informačního servisu v</w:t>
      </w:r>
      <w:r w:rsidR="002C6333">
        <w:rPr>
          <w:rFonts w:ascii="Arial" w:hAnsi="Arial" w:cs="Arial"/>
          <w:bCs/>
          <w:i/>
          <w:sz w:val="22"/>
          <w:szCs w:val="22"/>
        </w:rPr>
        <w:t> </w:t>
      </w:r>
      <w:r w:rsidRPr="005B54F5">
        <w:rPr>
          <w:rFonts w:ascii="Arial" w:hAnsi="Arial" w:cs="Arial"/>
          <w:bCs/>
          <w:i/>
          <w:sz w:val="22"/>
          <w:szCs w:val="22"/>
        </w:rPr>
        <w:t xml:space="preserve">oblasti plnění daní a cel“ či „analýza výběru daní“). </w:t>
      </w:r>
    </w:p>
    <w:p w:rsidR="005B54F5" w:rsidRPr="005B54F5" w:rsidRDefault="005B54F5" w:rsidP="005B54F5">
      <w:pPr>
        <w:jc w:val="both"/>
        <w:rPr>
          <w:rFonts w:ascii="Arial" w:hAnsi="Arial" w:cs="Arial"/>
          <w:bCs/>
          <w:i/>
          <w:sz w:val="22"/>
          <w:szCs w:val="22"/>
        </w:rPr>
      </w:pPr>
      <w:r w:rsidRPr="005B54F5">
        <w:rPr>
          <w:rFonts w:ascii="Arial" w:hAnsi="Arial" w:cs="Arial"/>
          <w:bCs/>
          <w:i/>
          <w:sz w:val="22"/>
          <w:szCs w:val="22"/>
        </w:rPr>
        <w:t>Nová strategie na roky 2015</w:t>
      </w:r>
      <w:r w:rsidR="002C6333">
        <w:rPr>
          <w:rFonts w:ascii="Arial" w:hAnsi="Arial" w:cs="Arial"/>
          <w:bCs/>
          <w:i/>
          <w:sz w:val="22"/>
          <w:szCs w:val="22"/>
        </w:rPr>
        <w:t xml:space="preserve"> </w:t>
      </w:r>
      <w:r w:rsidRPr="005B54F5">
        <w:rPr>
          <w:rFonts w:ascii="Arial" w:hAnsi="Arial" w:cs="Arial"/>
          <w:bCs/>
          <w:i/>
          <w:sz w:val="22"/>
          <w:szCs w:val="22"/>
        </w:rPr>
        <w:t>–</w:t>
      </w:r>
      <w:r w:rsidR="002C6333">
        <w:rPr>
          <w:rFonts w:ascii="Arial" w:hAnsi="Arial" w:cs="Arial"/>
          <w:bCs/>
          <w:i/>
          <w:sz w:val="22"/>
          <w:szCs w:val="22"/>
        </w:rPr>
        <w:t xml:space="preserve"> </w:t>
      </w:r>
      <w:r w:rsidRPr="005B54F5">
        <w:rPr>
          <w:rFonts w:ascii="Arial" w:hAnsi="Arial" w:cs="Arial"/>
          <w:bCs/>
          <w:i/>
          <w:sz w:val="22"/>
          <w:szCs w:val="22"/>
        </w:rPr>
        <w:t>2020 je stanovena lépe, avšak stále řada cílů a výkonových ukazatelů není stanovena dle zásad SMART (nejsou měřitelné, realistické a specifické). Nová strategie řeší především lidské zdroje, vzdělávání, vnitřní uspořádání a řízení, např. specifický cíl „optimalizace ubytovacích a vzdělávacích kapacit“, specifický cíl „kontinuálně zajišťovat personální potřeby útvarů“ či specifický cíl „modifikovat systém profesní přípravy a</w:t>
      </w:r>
      <w:r w:rsidR="002C6333">
        <w:rPr>
          <w:rFonts w:ascii="Arial" w:hAnsi="Arial" w:cs="Arial"/>
          <w:bCs/>
          <w:i/>
          <w:sz w:val="22"/>
          <w:szCs w:val="22"/>
        </w:rPr>
        <w:t> </w:t>
      </w:r>
      <w:r w:rsidRPr="005B54F5">
        <w:rPr>
          <w:rFonts w:ascii="Arial" w:hAnsi="Arial" w:cs="Arial"/>
          <w:bCs/>
          <w:i/>
          <w:sz w:val="22"/>
          <w:szCs w:val="22"/>
        </w:rPr>
        <w:t>vzdělávání v CS“. Dále se významně věnuje kompetencím, které by výhledově CS ČR měla vykonávat, např. kontrole elektronické evidence tržeb, kontrole v oblasti hazardu a</w:t>
      </w:r>
      <w:r w:rsidR="002C6333">
        <w:rPr>
          <w:rFonts w:ascii="Arial" w:hAnsi="Arial" w:cs="Arial"/>
          <w:bCs/>
          <w:i/>
          <w:sz w:val="22"/>
          <w:szCs w:val="22"/>
        </w:rPr>
        <w:t> </w:t>
      </w:r>
      <w:r w:rsidRPr="005B54F5">
        <w:rPr>
          <w:rFonts w:ascii="Arial" w:hAnsi="Arial" w:cs="Arial"/>
          <w:bCs/>
          <w:i/>
          <w:sz w:val="22"/>
          <w:szCs w:val="22"/>
        </w:rPr>
        <w:t xml:space="preserve">analytické činnosti. Hlavním kompetencím, tj. celnictví a správě SPED, pro které byla CS ČR zřízena, se nová strategie věnuje minimálně. </w:t>
      </w:r>
    </w:p>
    <w:p w:rsidR="005B54F5" w:rsidRPr="005B54F5" w:rsidRDefault="005B54F5" w:rsidP="005B54F5">
      <w:pPr>
        <w:jc w:val="both"/>
        <w:rPr>
          <w:rFonts w:ascii="Arial" w:hAnsi="Arial" w:cs="Arial"/>
          <w:bCs/>
          <w:i/>
          <w:sz w:val="22"/>
          <w:szCs w:val="22"/>
        </w:rPr>
      </w:pPr>
      <w:r w:rsidRPr="005B54F5">
        <w:rPr>
          <w:rFonts w:ascii="Arial" w:hAnsi="Arial" w:cs="Arial"/>
          <w:bCs/>
          <w:i/>
          <w:sz w:val="22"/>
          <w:szCs w:val="22"/>
        </w:rPr>
        <w:t xml:space="preserve">Základní strategické cíle nejsou zaměřeny na nákladovou efektivitu a nejsou orientovány na zákazníka, ale zejména na zadávání dílčích vnitřních aktivit, které by měly být prostředkem pro naplnění měřitelných cílů, např. specifický cíl „implementace nového Celního kodexu“. Efektivita činnosti je hodnocena především z dosažených finálních výkonnostních ukazatelů, avšak bez hodnocení nákladovosti na jejich dosažení. Takto nastavené strategické cíle nereflektují strategické materiály EU a vlády ČR, resp. jejich požadavky na zvýšení efektivity správy daní a snížení administrativní zátěže správce daně a daňových subjektů. </w:t>
      </w:r>
    </w:p>
    <w:p w:rsidR="005B54F5" w:rsidRDefault="005B54F5" w:rsidP="005B54F5">
      <w:pPr>
        <w:jc w:val="both"/>
        <w:rPr>
          <w:rFonts w:ascii="Arial" w:hAnsi="Arial" w:cs="Arial"/>
          <w:bCs/>
          <w:i/>
          <w:sz w:val="22"/>
          <w:szCs w:val="22"/>
        </w:rPr>
      </w:pPr>
      <w:r w:rsidRPr="00CC2666">
        <w:rPr>
          <w:rFonts w:ascii="Arial" w:hAnsi="Arial" w:cs="Arial"/>
          <w:b/>
          <w:bCs/>
          <w:i/>
          <w:sz w:val="22"/>
          <w:szCs w:val="22"/>
        </w:rPr>
        <w:t>Nevhodně nastavené strategické a dílčí cíle měly za následek nemožnost jejich plnění, případně nemožnost vyhodnocování jejich plnění, což znemožňovalo uskutečnit základní princip strategického řízení, kterým je trvalý růst organizace, její zlepšování a</w:t>
      </w:r>
      <w:r w:rsidR="002C6333">
        <w:rPr>
          <w:rFonts w:ascii="Arial" w:hAnsi="Arial" w:cs="Arial"/>
          <w:b/>
          <w:bCs/>
          <w:i/>
          <w:sz w:val="22"/>
          <w:szCs w:val="22"/>
        </w:rPr>
        <w:t> </w:t>
      </w:r>
      <w:r w:rsidRPr="00CC2666">
        <w:rPr>
          <w:rFonts w:ascii="Arial" w:hAnsi="Arial" w:cs="Arial"/>
          <w:b/>
          <w:bCs/>
          <w:i/>
          <w:sz w:val="22"/>
          <w:szCs w:val="22"/>
        </w:rPr>
        <w:t>zefektivňování činnosti. Nejsou zřejmé přínosy zavedení strategického a procesního řízení pro zvyšování efektivity činnosti CS ČR</w:t>
      </w:r>
      <w:r w:rsidRPr="005B54F5">
        <w:rPr>
          <w:rFonts w:ascii="Arial" w:hAnsi="Arial" w:cs="Arial"/>
          <w:bCs/>
          <w:i/>
          <w:sz w:val="22"/>
          <w:szCs w:val="22"/>
        </w:rPr>
        <w:t>.</w:t>
      </w:r>
      <w:r>
        <w:rPr>
          <w:rFonts w:ascii="Arial" w:hAnsi="Arial" w:cs="Arial"/>
          <w:bCs/>
          <w:i/>
          <w:sz w:val="22"/>
          <w:szCs w:val="22"/>
        </w:rPr>
        <w:t>“</w:t>
      </w:r>
    </w:p>
    <w:p w:rsidR="00F22E17" w:rsidRDefault="00F22E17" w:rsidP="005B54F5">
      <w:pPr>
        <w:jc w:val="both"/>
        <w:rPr>
          <w:rFonts w:ascii="Arial" w:hAnsi="Arial" w:cs="Arial"/>
          <w:bCs/>
          <w:i/>
          <w:sz w:val="22"/>
          <w:szCs w:val="22"/>
        </w:rPr>
      </w:pPr>
    </w:p>
    <w:p w:rsidR="005B54F5" w:rsidRPr="005B54F5" w:rsidRDefault="005B54F5" w:rsidP="005B54F5">
      <w:pPr>
        <w:jc w:val="both"/>
        <w:rPr>
          <w:rFonts w:ascii="Arial" w:hAnsi="Arial" w:cs="Arial"/>
          <w:bCs/>
          <w:iCs/>
          <w:sz w:val="22"/>
          <w:szCs w:val="22"/>
          <w:u w:val="single"/>
        </w:rPr>
      </w:pPr>
      <w:r w:rsidRPr="005B54F5">
        <w:rPr>
          <w:rFonts w:ascii="Arial" w:hAnsi="Arial" w:cs="Arial"/>
          <w:bCs/>
          <w:iCs/>
          <w:sz w:val="22"/>
          <w:szCs w:val="22"/>
          <w:u w:val="single"/>
        </w:rPr>
        <w:t>Stanovisko GŘC:</w:t>
      </w:r>
    </w:p>
    <w:p w:rsidR="008875AD" w:rsidRPr="008875AD" w:rsidRDefault="008875AD" w:rsidP="008875AD">
      <w:pPr>
        <w:jc w:val="both"/>
        <w:rPr>
          <w:rFonts w:ascii="Arial" w:hAnsi="Arial" w:cs="Arial"/>
          <w:bCs/>
          <w:iCs/>
          <w:sz w:val="22"/>
          <w:szCs w:val="22"/>
        </w:rPr>
      </w:pPr>
      <w:r w:rsidRPr="008875AD">
        <w:rPr>
          <w:rFonts w:ascii="Arial" w:hAnsi="Arial" w:cs="Arial"/>
          <w:bCs/>
          <w:iCs/>
          <w:sz w:val="22"/>
          <w:szCs w:val="22"/>
        </w:rPr>
        <w:t>Strategie na roky 2013-2017 byla první takového typu v CS ČR. V roce 2015 se předpokládalo zásadní zjednodušení strategie. S nástupem nového vedení v září 2014 byla tato strategie zrušena a nahrazena zcela novou.</w:t>
      </w:r>
    </w:p>
    <w:p w:rsidR="008875AD" w:rsidRPr="008875AD" w:rsidRDefault="008875AD" w:rsidP="008875AD">
      <w:pPr>
        <w:jc w:val="both"/>
        <w:rPr>
          <w:rFonts w:ascii="Arial" w:hAnsi="Arial" w:cs="Arial"/>
          <w:bCs/>
          <w:iCs/>
          <w:sz w:val="22"/>
          <w:szCs w:val="22"/>
        </w:rPr>
      </w:pPr>
      <w:r w:rsidRPr="008875AD">
        <w:rPr>
          <w:rFonts w:ascii="Arial" w:hAnsi="Arial" w:cs="Arial"/>
          <w:bCs/>
          <w:iCs/>
          <w:sz w:val="22"/>
          <w:szCs w:val="22"/>
        </w:rPr>
        <w:t>Ve svých námitkách CS ČR uvedla, že specifické cíle ve strategii na roky 2015-2020 byly koncipovány tak, aby v době jejich termínu realizace bylo možno ověřit, zda došlo k jejich reálnému splnění. Pro měřitelnost cíle není podmínkou jeho číselné vyjádření, lze koncipovat i cíle s měřitelností typu existuje vs. neexistuje. Ani podmínka uvedení výchozího stavu není absolutní, vždy závisí na specifikaci cíle, zda je uvedení výchozího stavu bezpodmínečně nutné. Tyto připomínky nebyly NKÚ akceptovány.</w:t>
      </w:r>
    </w:p>
    <w:p w:rsidR="008875AD" w:rsidRPr="008875AD" w:rsidRDefault="008875AD" w:rsidP="008875AD">
      <w:pPr>
        <w:jc w:val="both"/>
        <w:rPr>
          <w:rFonts w:ascii="Arial" w:hAnsi="Arial" w:cs="Arial"/>
          <w:bCs/>
          <w:iCs/>
          <w:sz w:val="22"/>
          <w:szCs w:val="22"/>
        </w:rPr>
      </w:pPr>
      <w:r w:rsidRPr="008875AD">
        <w:rPr>
          <w:rFonts w:ascii="Arial" w:hAnsi="Arial" w:cs="Arial"/>
          <w:bCs/>
          <w:iCs/>
          <w:sz w:val="22"/>
          <w:szCs w:val="22"/>
        </w:rPr>
        <w:t>Současná strategie byla připravována novým vedením CS ČR na přelomu let 2014 a 2015, které mělo jiné priority než vedení předchozí. Strategie byla pojata jako transformační a tudíž zaměřená dovnitř organizace. Další oblastí je nakládání se zdroji. Pokud dojde k naplnění stanovených cílů, dojde k pozitivnímu vývoji i v hlavních procesech.</w:t>
      </w:r>
    </w:p>
    <w:p w:rsidR="008875AD" w:rsidRPr="008875AD" w:rsidRDefault="008875AD" w:rsidP="008875AD">
      <w:pPr>
        <w:jc w:val="both"/>
        <w:rPr>
          <w:rFonts w:ascii="Arial" w:hAnsi="Arial" w:cs="Arial"/>
          <w:bCs/>
          <w:iCs/>
          <w:sz w:val="22"/>
          <w:szCs w:val="22"/>
        </w:rPr>
      </w:pPr>
      <w:r w:rsidRPr="008875AD">
        <w:rPr>
          <w:rFonts w:ascii="Arial" w:hAnsi="Arial" w:cs="Arial"/>
          <w:bCs/>
          <w:iCs/>
          <w:sz w:val="22"/>
          <w:szCs w:val="22"/>
        </w:rPr>
        <w:t>To, že nebyly stanoveny konkrétní cíle hlavním procesům, neznamená, že tyto procesy nemají stanoveny své zásadní úkoly, jen se to děje mimo strategii.</w:t>
      </w:r>
    </w:p>
    <w:p w:rsidR="00B722D5" w:rsidRPr="008875AD" w:rsidRDefault="008875AD" w:rsidP="008875AD">
      <w:pPr>
        <w:jc w:val="both"/>
        <w:rPr>
          <w:rFonts w:ascii="Arial" w:hAnsi="Arial" w:cs="Arial"/>
          <w:bCs/>
          <w:iCs/>
          <w:sz w:val="22"/>
          <w:szCs w:val="22"/>
        </w:rPr>
      </w:pPr>
      <w:r w:rsidRPr="008875AD">
        <w:rPr>
          <w:rFonts w:ascii="Arial" w:hAnsi="Arial" w:cs="Arial"/>
          <w:bCs/>
          <w:iCs/>
          <w:sz w:val="22"/>
          <w:szCs w:val="22"/>
        </w:rPr>
        <w:t>Cíle Reálné vykonávání kontrol a správního trestání podle zákona o elektronické evidenci tržeb a zákona o hazardních hrách (stejně tak ale i cíl Reálné vykonávání rozšířeného trestního prověřování a vyšetřování) budou mít po své realizaci významný vliv na charakter Celní správy ČR, protože jednak dojde k rozšíření kontrolně represivních kompetencí v</w:t>
      </w:r>
      <w:r w:rsidR="00922E71">
        <w:rPr>
          <w:rFonts w:ascii="Arial" w:hAnsi="Arial" w:cs="Arial"/>
          <w:bCs/>
          <w:iCs/>
          <w:sz w:val="22"/>
          <w:szCs w:val="22"/>
        </w:rPr>
        <w:t> </w:t>
      </w:r>
      <w:r w:rsidRPr="008875AD">
        <w:rPr>
          <w:rFonts w:ascii="Arial" w:hAnsi="Arial" w:cs="Arial"/>
          <w:bCs/>
          <w:iCs/>
          <w:sz w:val="22"/>
          <w:szCs w:val="22"/>
        </w:rPr>
        <w:t>portfoliu Celní správy ČR a současně dojde k transformaci organizační struktury včetně dopadu do systemizace, kdy dojde k výraznému nárůstu počtu příslušníků vykonávajících jiné než čistě fiskální kompetence (správa cel, správa SPD a dělená správa). Po realizaci obou projektů, kterými jsou dané cíle realizovány, bude Celní správa ČR transformována tak, aby byla schopna své nové kompetence řádně vykonávat.</w:t>
      </w:r>
    </w:p>
    <w:p w:rsidR="008875AD" w:rsidRPr="005B54F5" w:rsidRDefault="008875AD" w:rsidP="008875AD">
      <w:pPr>
        <w:jc w:val="both"/>
        <w:rPr>
          <w:rFonts w:ascii="Arial" w:hAnsi="Arial" w:cs="Arial"/>
          <w:bCs/>
          <w:iCs/>
          <w:sz w:val="22"/>
          <w:szCs w:val="22"/>
        </w:rPr>
      </w:pPr>
    </w:p>
    <w:p w:rsidR="005B54F5" w:rsidRPr="005B54F5" w:rsidRDefault="005B54F5" w:rsidP="005B54F5">
      <w:pPr>
        <w:jc w:val="both"/>
        <w:rPr>
          <w:rFonts w:ascii="Arial" w:hAnsi="Arial" w:cs="Arial"/>
          <w:bCs/>
          <w:iCs/>
          <w:sz w:val="22"/>
          <w:szCs w:val="22"/>
        </w:rPr>
      </w:pPr>
      <w:r w:rsidRPr="005B54F5">
        <w:rPr>
          <w:rFonts w:ascii="Arial" w:hAnsi="Arial" w:cs="Arial"/>
          <w:bCs/>
          <w:iCs/>
          <w:sz w:val="22"/>
          <w:szCs w:val="22"/>
          <w:u w:val="single"/>
        </w:rPr>
        <w:t>Opatření GŘC:</w:t>
      </w:r>
    </w:p>
    <w:p w:rsidR="005B54F5" w:rsidRDefault="00B722D5" w:rsidP="005B54F5">
      <w:pPr>
        <w:jc w:val="both"/>
        <w:rPr>
          <w:rFonts w:ascii="Arial" w:hAnsi="Arial" w:cs="Arial"/>
          <w:bCs/>
          <w:iCs/>
          <w:sz w:val="22"/>
          <w:szCs w:val="22"/>
        </w:rPr>
      </w:pPr>
      <w:r w:rsidRPr="00B722D5">
        <w:rPr>
          <w:rFonts w:ascii="Arial" w:hAnsi="Arial" w:cs="Arial"/>
          <w:bCs/>
          <w:iCs/>
          <w:sz w:val="22"/>
          <w:szCs w:val="22"/>
        </w:rPr>
        <w:t xml:space="preserve">Strategie Celní správy ČR bude modifikována </w:t>
      </w:r>
      <w:r>
        <w:rPr>
          <w:rFonts w:ascii="Arial" w:hAnsi="Arial" w:cs="Arial"/>
          <w:bCs/>
          <w:iCs/>
          <w:sz w:val="22"/>
          <w:szCs w:val="22"/>
        </w:rPr>
        <w:t>s</w:t>
      </w:r>
      <w:r w:rsidRPr="00B722D5">
        <w:rPr>
          <w:rFonts w:ascii="Arial" w:hAnsi="Arial" w:cs="Arial"/>
          <w:bCs/>
          <w:iCs/>
          <w:sz w:val="22"/>
          <w:szCs w:val="22"/>
        </w:rPr>
        <w:t> důrazem na dodržení kritérií SMART.</w:t>
      </w:r>
    </w:p>
    <w:p w:rsidR="00B722D5" w:rsidRPr="005B54F5" w:rsidRDefault="00B722D5" w:rsidP="005B54F5">
      <w:pPr>
        <w:jc w:val="both"/>
        <w:rPr>
          <w:rFonts w:ascii="Arial" w:hAnsi="Arial" w:cs="Arial"/>
          <w:bCs/>
          <w:iCs/>
          <w:sz w:val="22"/>
          <w:szCs w:val="22"/>
        </w:rPr>
      </w:pPr>
    </w:p>
    <w:p w:rsidR="005B54F5" w:rsidRPr="005B54F5" w:rsidRDefault="005B54F5" w:rsidP="005B54F5">
      <w:pPr>
        <w:jc w:val="both"/>
        <w:rPr>
          <w:rFonts w:ascii="Arial" w:hAnsi="Arial" w:cs="Arial"/>
          <w:bCs/>
          <w:i/>
          <w:sz w:val="22"/>
          <w:szCs w:val="22"/>
        </w:rPr>
      </w:pPr>
      <w:r w:rsidRPr="005B54F5">
        <w:rPr>
          <w:rFonts w:ascii="Arial" w:hAnsi="Arial" w:cs="Arial"/>
          <w:bCs/>
          <w:iCs/>
          <w:sz w:val="22"/>
          <w:szCs w:val="22"/>
          <w:u w:val="single"/>
        </w:rPr>
        <w:t>Termín:</w:t>
      </w:r>
      <w:r w:rsidRPr="005B54F5">
        <w:rPr>
          <w:rFonts w:ascii="Arial" w:hAnsi="Arial" w:cs="Arial"/>
          <w:bCs/>
          <w:iCs/>
          <w:sz w:val="22"/>
          <w:szCs w:val="22"/>
        </w:rPr>
        <w:t xml:space="preserve"> </w:t>
      </w:r>
      <w:r w:rsidR="00B722D5" w:rsidRPr="00B722D5">
        <w:rPr>
          <w:rFonts w:ascii="Arial" w:hAnsi="Arial" w:cs="Arial"/>
          <w:bCs/>
          <w:iCs/>
          <w:sz w:val="22"/>
          <w:szCs w:val="22"/>
        </w:rPr>
        <w:t>31. 12. 2017</w:t>
      </w:r>
    </w:p>
    <w:sectPr w:rsidR="005B54F5" w:rsidRPr="005B54F5" w:rsidSect="009E5F4A">
      <w:footerReference w:type="default" r:id="rId9"/>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27236C" w15:done="0"/>
  <w15:commentEx w15:paraId="1F662957" w15:done="0"/>
  <w15:commentEx w15:paraId="2D4CB0B2" w15:done="0"/>
  <w15:commentEx w15:paraId="5774F3ED" w15:done="0"/>
  <w15:commentEx w15:paraId="72235814" w15:done="0"/>
  <w15:commentEx w15:paraId="416EF242" w15:done="0"/>
  <w15:commentEx w15:paraId="2DBCE58D" w15:done="0"/>
  <w15:commentEx w15:paraId="030E2A8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05A" w:rsidRDefault="0098005A" w:rsidP="00242386">
      <w:r>
        <w:separator/>
      </w:r>
    </w:p>
  </w:endnote>
  <w:endnote w:type="continuationSeparator" w:id="0">
    <w:p w:rsidR="0098005A" w:rsidRDefault="0098005A" w:rsidP="0024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FA1" w:rsidRPr="00242386" w:rsidRDefault="008D6FA1" w:rsidP="00242386">
    <w:pPr>
      <w:pStyle w:val="Podtitul"/>
      <w:rPr>
        <w:rFonts w:ascii="Arial" w:hAnsi="Arial" w:cs="Arial"/>
        <w:sz w:val="22"/>
        <w:szCs w:val="22"/>
      </w:rPr>
    </w:pPr>
    <w:r>
      <w:rPr>
        <w:rFonts w:ascii="Arial" w:hAnsi="Arial" w:cs="Arial"/>
        <w:sz w:val="22"/>
        <w:szCs w:val="22"/>
      </w:rPr>
      <w:t xml:space="preserve">Stránka </w:t>
    </w:r>
    <w:r>
      <w:rPr>
        <w:rFonts w:ascii="Arial" w:hAnsi="Arial" w:cs="Arial"/>
        <w:sz w:val="22"/>
        <w:szCs w:val="22"/>
      </w:rPr>
      <w:fldChar w:fldCharType="begin"/>
    </w:r>
    <w:r>
      <w:rPr>
        <w:rFonts w:ascii="Arial" w:hAnsi="Arial" w:cs="Arial"/>
        <w:sz w:val="22"/>
        <w:szCs w:val="22"/>
      </w:rPr>
      <w:instrText>PAGE</w:instrText>
    </w:r>
    <w:r>
      <w:rPr>
        <w:rFonts w:ascii="Arial" w:hAnsi="Arial" w:cs="Arial"/>
        <w:sz w:val="22"/>
        <w:szCs w:val="22"/>
      </w:rPr>
      <w:fldChar w:fldCharType="separate"/>
    </w:r>
    <w:r w:rsidR="00224F32">
      <w:rPr>
        <w:rFonts w:ascii="Arial" w:hAnsi="Arial" w:cs="Arial"/>
        <w:noProof/>
        <w:sz w:val="22"/>
        <w:szCs w:val="22"/>
      </w:rPr>
      <w:t>20</w:t>
    </w:r>
    <w:r>
      <w:rPr>
        <w:rFonts w:ascii="Arial" w:hAnsi="Arial" w:cs="Arial"/>
        <w:sz w:val="22"/>
        <w:szCs w:val="22"/>
      </w:rPr>
      <w:fldChar w:fldCharType="end"/>
    </w:r>
    <w:r>
      <w:rPr>
        <w:rFonts w:ascii="Arial" w:hAnsi="Arial" w:cs="Arial"/>
        <w:sz w:val="22"/>
        <w:szCs w:val="22"/>
      </w:rPr>
      <w:t xml:space="preserve"> (celkem </w:t>
    </w:r>
    <w:r>
      <w:rPr>
        <w:rFonts w:ascii="Arial" w:hAnsi="Arial" w:cs="Arial"/>
        <w:sz w:val="22"/>
        <w:szCs w:val="22"/>
      </w:rPr>
      <w:fldChar w:fldCharType="begin"/>
    </w:r>
    <w:r>
      <w:rPr>
        <w:rFonts w:ascii="Arial" w:hAnsi="Arial" w:cs="Arial"/>
        <w:sz w:val="22"/>
        <w:szCs w:val="22"/>
      </w:rPr>
      <w:instrText>NUMPAGES</w:instrText>
    </w:r>
    <w:r>
      <w:rPr>
        <w:rFonts w:ascii="Arial" w:hAnsi="Arial" w:cs="Arial"/>
        <w:sz w:val="22"/>
        <w:szCs w:val="22"/>
      </w:rPr>
      <w:fldChar w:fldCharType="separate"/>
    </w:r>
    <w:r w:rsidR="00224F32">
      <w:rPr>
        <w:rFonts w:ascii="Arial" w:hAnsi="Arial" w:cs="Arial"/>
        <w:noProof/>
        <w:sz w:val="22"/>
        <w:szCs w:val="22"/>
      </w:rPr>
      <w:t>20</w:t>
    </w:r>
    <w:r>
      <w:rPr>
        <w:rFonts w:ascii="Arial" w:hAnsi="Arial" w:cs="Arial"/>
        <w:sz w:val="22"/>
        <w:szCs w:val="22"/>
      </w:rPr>
      <w:fldChar w:fldCharType="end"/>
    </w:r>
    <w:r>
      <w:rPr>
        <w:rFonts w:ascii="Arial" w:hAnsi="Arial" w:cs="Arial"/>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05A" w:rsidRDefault="0098005A" w:rsidP="00242386">
      <w:r>
        <w:separator/>
      </w:r>
    </w:p>
  </w:footnote>
  <w:footnote w:type="continuationSeparator" w:id="0">
    <w:p w:rsidR="0098005A" w:rsidRDefault="0098005A" w:rsidP="002423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1981"/>
    <w:multiLevelType w:val="hybridMultilevel"/>
    <w:tmpl w:val="83CEFC2E"/>
    <w:lvl w:ilvl="0" w:tplc="9DB25078">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nsid w:val="04DA55A9"/>
    <w:multiLevelType w:val="multilevel"/>
    <w:tmpl w:val="F6F60646"/>
    <w:lvl w:ilvl="0">
      <w:start w:val="1"/>
      <w:numFmt w:val="lowerLetter"/>
      <w:pStyle w:val="Odstavec"/>
      <w:lvlText w:val="%1)"/>
      <w:lvlJc w:val="left"/>
      <w:pPr>
        <w:ind w:left="360" w:hanging="360"/>
      </w:pPr>
      <w:rPr>
        <w:rFonts w:ascii="Times New Roman" w:eastAsia="Times New Roman" w:hAnsi="Times New Roman" w:cs="Times New Roman"/>
      </w:rPr>
    </w:lvl>
    <w:lvl w:ilvl="1">
      <w:start w:val="1"/>
      <w:numFmt w:val="lowerLetter"/>
      <w:pStyle w:val="Pismeno"/>
      <w:lvlText w:val="%2)"/>
      <w:lvlJc w:val="left"/>
      <w:pPr>
        <w:ind w:left="786" w:hanging="360"/>
      </w:pPr>
      <w:rPr>
        <w:rFonts w:cs="Times New Roman" w:hint="default"/>
        <w:strike w:val="0"/>
        <w:sz w:val="28"/>
        <w:szCs w:val="28"/>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700" w:hanging="360"/>
      </w:pPr>
      <w:rPr>
        <w:rFonts w:ascii="Times New Roman" w:eastAsia="Times New Roman" w:hAnsi="Times New Roman" w:cs="Times New Roman"/>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nsid w:val="16C95887"/>
    <w:multiLevelType w:val="hybridMultilevel"/>
    <w:tmpl w:val="F85EFA86"/>
    <w:lvl w:ilvl="0" w:tplc="904AD21A">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nsid w:val="17DC01D4"/>
    <w:multiLevelType w:val="hybridMultilevel"/>
    <w:tmpl w:val="1986A12C"/>
    <w:lvl w:ilvl="0" w:tplc="AD842BEA">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
    <w:nsid w:val="18FD6415"/>
    <w:multiLevelType w:val="hybridMultilevel"/>
    <w:tmpl w:val="ACB419F8"/>
    <w:lvl w:ilvl="0" w:tplc="AD842BEA">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
    <w:nsid w:val="1C9C5186"/>
    <w:multiLevelType w:val="hybridMultilevel"/>
    <w:tmpl w:val="BCD83A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DD6558F"/>
    <w:multiLevelType w:val="hybridMultilevel"/>
    <w:tmpl w:val="3B941EBA"/>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
    <w:nsid w:val="201914B7"/>
    <w:multiLevelType w:val="hybridMultilevel"/>
    <w:tmpl w:val="0A7CA5DA"/>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nsid w:val="219165B3"/>
    <w:multiLevelType w:val="hybridMultilevel"/>
    <w:tmpl w:val="B1802D06"/>
    <w:lvl w:ilvl="0" w:tplc="440E1C84">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nsid w:val="2744091F"/>
    <w:multiLevelType w:val="hybridMultilevel"/>
    <w:tmpl w:val="4260D4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03D4C29"/>
    <w:multiLevelType w:val="hybridMultilevel"/>
    <w:tmpl w:val="3D24145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32EC52F6"/>
    <w:multiLevelType w:val="hybridMultilevel"/>
    <w:tmpl w:val="D9E252A4"/>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331D23E0"/>
    <w:multiLevelType w:val="hybridMultilevel"/>
    <w:tmpl w:val="24EA915A"/>
    <w:lvl w:ilvl="0" w:tplc="F322078C">
      <w:start w:val="1"/>
      <w:numFmt w:val="bullet"/>
      <w:lvlText w:val="-"/>
      <w:lvlJc w:val="left"/>
      <w:pPr>
        <w:ind w:left="360" w:hanging="360"/>
      </w:pPr>
      <w:rPr>
        <w:rFonts w:ascii="Times New Roman" w:eastAsiaTheme="minorHAnsi" w:hAnsi="Times New Roman" w:cs="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nsid w:val="3B37716E"/>
    <w:multiLevelType w:val="hybridMultilevel"/>
    <w:tmpl w:val="FBD8358A"/>
    <w:lvl w:ilvl="0" w:tplc="904AD21A">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nsid w:val="40542212"/>
    <w:multiLevelType w:val="hybridMultilevel"/>
    <w:tmpl w:val="8F342314"/>
    <w:lvl w:ilvl="0" w:tplc="440E1C84">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nsid w:val="46FA1BD1"/>
    <w:multiLevelType w:val="hybridMultilevel"/>
    <w:tmpl w:val="992800E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nsid w:val="493F3614"/>
    <w:multiLevelType w:val="hybridMultilevel"/>
    <w:tmpl w:val="BD9EF568"/>
    <w:lvl w:ilvl="0" w:tplc="04050015">
      <w:start w:val="1"/>
      <w:numFmt w:val="upp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nsid w:val="571A48F1"/>
    <w:multiLevelType w:val="hybridMultilevel"/>
    <w:tmpl w:val="C682F0A8"/>
    <w:lvl w:ilvl="0" w:tplc="5816DDA6">
      <w:start w:val="1"/>
      <w:numFmt w:val="upperLetter"/>
      <w:lvlText w:val="%1."/>
      <w:lvlJc w:val="left"/>
      <w:pPr>
        <w:ind w:left="360" w:hanging="360"/>
      </w:pPr>
      <w:rPr>
        <w:rFonts w:hint="default"/>
        <w:b/>
      </w:rPr>
    </w:lvl>
    <w:lvl w:ilvl="1" w:tplc="5E4ABD34">
      <w:start w:val="1"/>
      <w:numFmt w:val="bullet"/>
      <w:lvlText w:val=""/>
      <w:lvlJc w:val="left"/>
      <w:pPr>
        <w:tabs>
          <w:tab w:val="num" w:pos="1080"/>
        </w:tabs>
        <w:ind w:left="1080" w:hanging="360"/>
      </w:pPr>
      <w:rPr>
        <w:rFonts w:ascii="Symbol" w:hAnsi="Symbol" w:hint="default"/>
        <w:b/>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nsid w:val="572906E6"/>
    <w:multiLevelType w:val="hybridMultilevel"/>
    <w:tmpl w:val="D0F6EA0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A5822FD"/>
    <w:multiLevelType w:val="hybridMultilevel"/>
    <w:tmpl w:val="F6CCB8A6"/>
    <w:lvl w:ilvl="0" w:tplc="904AD21A">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nsid w:val="5CD775EE"/>
    <w:multiLevelType w:val="hybridMultilevel"/>
    <w:tmpl w:val="EF366D42"/>
    <w:lvl w:ilvl="0" w:tplc="904AD21A">
      <w:start w:val="1"/>
      <w:numFmt w:val="bullet"/>
      <w:lvlText w:val="-"/>
      <w:lvlJc w:val="left"/>
      <w:pPr>
        <w:ind w:left="720" w:hanging="360"/>
      </w:pPr>
      <w:rPr>
        <w:rFonts w:ascii="Simplified Arabic Fixed" w:hAnsi="Simplified Arabic Fixed"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E7A38F8"/>
    <w:multiLevelType w:val="hybridMultilevel"/>
    <w:tmpl w:val="882C817C"/>
    <w:lvl w:ilvl="0" w:tplc="904AD21A">
      <w:start w:val="1"/>
      <w:numFmt w:val="bullet"/>
      <w:lvlText w:val="-"/>
      <w:lvlJc w:val="left"/>
      <w:pPr>
        <w:ind w:left="360" w:hanging="360"/>
      </w:pPr>
      <w:rPr>
        <w:rFonts w:ascii="Simplified Arabic Fixed" w:hAnsi="Simplified Arabic Fixed" w:cs="Times New Roman"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22">
    <w:nsid w:val="6E4E0291"/>
    <w:multiLevelType w:val="hybridMultilevel"/>
    <w:tmpl w:val="F67A265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nsid w:val="6F74107A"/>
    <w:multiLevelType w:val="hybridMultilevel"/>
    <w:tmpl w:val="81980F20"/>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56B5B9D"/>
    <w:multiLevelType w:val="hybridMultilevel"/>
    <w:tmpl w:val="6DE8D5B6"/>
    <w:lvl w:ilvl="0" w:tplc="0405000F">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num w:numId="1">
    <w:abstractNumId w:val="17"/>
  </w:num>
  <w:num w:numId="2">
    <w:abstractNumId w:val="4"/>
  </w:num>
  <w:num w:numId="3">
    <w:abstractNumId w:val="3"/>
  </w:num>
  <w:num w:numId="4">
    <w:abstractNumId w:val="9"/>
  </w:num>
  <w:num w:numId="5">
    <w:abstractNumId w:val="20"/>
  </w:num>
  <w:num w:numId="6">
    <w:abstractNumId w:val="2"/>
  </w:num>
  <w:num w:numId="7">
    <w:abstractNumId w:val="15"/>
  </w:num>
  <w:num w:numId="8">
    <w:abstractNumId w:val="19"/>
  </w:num>
  <w:num w:numId="9">
    <w:abstractNumId w:val="6"/>
  </w:num>
  <w:num w:numId="10">
    <w:abstractNumId w:val="1"/>
  </w:num>
  <w:num w:numId="11">
    <w:abstractNumId w:val="24"/>
  </w:num>
  <w:num w:numId="12">
    <w:abstractNumId w:val="21"/>
  </w:num>
  <w:num w:numId="13">
    <w:abstractNumId w:val="7"/>
  </w:num>
  <w:num w:numId="14">
    <w:abstractNumId w:val="13"/>
  </w:num>
  <w:num w:numId="15">
    <w:abstractNumId w:val="0"/>
  </w:num>
  <w:num w:numId="16">
    <w:abstractNumId w:val="11"/>
  </w:num>
  <w:num w:numId="17">
    <w:abstractNumId w:val="18"/>
  </w:num>
  <w:num w:numId="18">
    <w:abstractNumId w:val="22"/>
  </w:num>
  <w:num w:numId="19">
    <w:abstractNumId w:val="5"/>
  </w:num>
  <w:num w:numId="20">
    <w:abstractNumId w:val="10"/>
  </w:num>
  <w:num w:numId="21">
    <w:abstractNumId w:val="12"/>
  </w:num>
  <w:num w:numId="22">
    <w:abstractNumId w:val="16"/>
  </w:num>
  <w:num w:numId="23">
    <w:abstractNumId w:val="23"/>
  </w:num>
  <w:num w:numId="24">
    <w:abstractNumId w:val="14"/>
  </w:num>
  <w:num w:numId="2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rcík Petr Bc.">
    <w15:presenceInfo w15:providerId="AD" w15:userId="S-1-5-21-546485500-1578478505-2966661195-3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CC4"/>
    <w:rsid w:val="00001F67"/>
    <w:rsid w:val="00005CE6"/>
    <w:rsid w:val="00006DE8"/>
    <w:rsid w:val="0001492B"/>
    <w:rsid w:val="00015153"/>
    <w:rsid w:val="000156AE"/>
    <w:rsid w:val="00017635"/>
    <w:rsid w:val="00017C88"/>
    <w:rsid w:val="00022D89"/>
    <w:rsid w:val="00023E97"/>
    <w:rsid w:val="00026106"/>
    <w:rsid w:val="00030791"/>
    <w:rsid w:val="00031A71"/>
    <w:rsid w:val="000320E5"/>
    <w:rsid w:val="00033802"/>
    <w:rsid w:val="00035300"/>
    <w:rsid w:val="000366EB"/>
    <w:rsid w:val="00036B39"/>
    <w:rsid w:val="00042AD1"/>
    <w:rsid w:val="00044C45"/>
    <w:rsid w:val="000463A4"/>
    <w:rsid w:val="00046C36"/>
    <w:rsid w:val="000502F8"/>
    <w:rsid w:val="000515F8"/>
    <w:rsid w:val="000543E8"/>
    <w:rsid w:val="00056F77"/>
    <w:rsid w:val="00060419"/>
    <w:rsid w:val="000625AD"/>
    <w:rsid w:val="00067426"/>
    <w:rsid w:val="0007339A"/>
    <w:rsid w:val="00075E6A"/>
    <w:rsid w:val="000821F1"/>
    <w:rsid w:val="00084E69"/>
    <w:rsid w:val="00092F9F"/>
    <w:rsid w:val="000937C6"/>
    <w:rsid w:val="000A1E24"/>
    <w:rsid w:val="000A4185"/>
    <w:rsid w:val="000A43CF"/>
    <w:rsid w:val="000A5824"/>
    <w:rsid w:val="000B0BEA"/>
    <w:rsid w:val="000B1779"/>
    <w:rsid w:val="000C2510"/>
    <w:rsid w:val="000C3070"/>
    <w:rsid w:val="000C45E5"/>
    <w:rsid w:val="000C73FA"/>
    <w:rsid w:val="000D646D"/>
    <w:rsid w:val="000F0E7B"/>
    <w:rsid w:val="000F2A8D"/>
    <w:rsid w:val="000F4607"/>
    <w:rsid w:val="000F79A5"/>
    <w:rsid w:val="001000E5"/>
    <w:rsid w:val="001056F9"/>
    <w:rsid w:val="00111D7B"/>
    <w:rsid w:val="00113D01"/>
    <w:rsid w:val="001169D7"/>
    <w:rsid w:val="00122432"/>
    <w:rsid w:val="00122E1C"/>
    <w:rsid w:val="00144703"/>
    <w:rsid w:val="0014738F"/>
    <w:rsid w:val="001475E2"/>
    <w:rsid w:val="00152BF0"/>
    <w:rsid w:val="00154D36"/>
    <w:rsid w:val="0016416D"/>
    <w:rsid w:val="0017290E"/>
    <w:rsid w:val="001742A6"/>
    <w:rsid w:val="00175C95"/>
    <w:rsid w:val="001839F1"/>
    <w:rsid w:val="0018662C"/>
    <w:rsid w:val="00192BF8"/>
    <w:rsid w:val="00197425"/>
    <w:rsid w:val="001A3540"/>
    <w:rsid w:val="001A74E6"/>
    <w:rsid w:val="001A7D51"/>
    <w:rsid w:val="001B02E2"/>
    <w:rsid w:val="001B1277"/>
    <w:rsid w:val="001B365A"/>
    <w:rsid w:val="001B4593"/>
    <w:rsid w:val="001C0F81"/>
    <w:rsid w:val="001C1916"/>
    <w:rsid w:val="001C6CC4"/>
    <w:rsid w:val="001D1801"/>
    <w:rsid w:val="001D6E2D"/>
    <w:rsid w:val="001E1F37"/>
    <w:rsid w:val="001E6847"/>
    <w:rsid w:val="001F4097"/>
    <w:rsid w:val="00200BF5"/>
    <w:rsid w:val="00201196"/>
    <w:rsid w:val="002075DC"/>
    <w:rsid w:val="00211C47"/>
    <w:rsid w:val="002123FC"/>
    <w:rsid w:val="002164E3"/>
    <w:rsid w:val="00224F32"/>
    <w:rsid w:val="00231B6D"/>
    <w:rsid w:val="00232968"/>
    <w:rsid w:val="002333F2"/>
    <w:rsid w:val="00234E2D"/>
    <w:rsid w:val="00235D0A"/>
    <w:rsid w:val="002404BF"/>
    <w:rsid w:val="00242386"/>
    <w:rsid w:val="00244851"/>
    <w:rsid w:val="00250944"/>
    <w:rsid w:val="00255190"/>
    <w:rsid w:val="0025641F"/>
    <w:rsid w:val="00261D54"/>
    <w:rsid w:val="0026293C"/>
    <w:rsid w:val="00266721"/>
    <w:rsid w:val="0027393D"/>
    <w:rsid w:val="00275DC5"/>
    <w:rsid w:val="002810EF"/>
    <w:rsid w:val="002856F2"/>
    <w:rsid w:val="00285C9E"/>
    <w:rsid w:val="00286D35"/>
    <w:rsid w:val="00291E0E"/>
    <w:rsid w:val="00293F6A"/>
    <w:rsid w:val="002A3D15"/>
    <w:rsid w:val="002A73C0"/>
    <w:rsid w:val="002B5729"/>
    <w:rsid w:val="002C0752"/>
    <w:rsid w:val="002C1611"/>
    <w:rsid w:val="002C1637"/>
    <w:rsid w:val="002C239D"/>
    <w:rsid w:val="002C6333"/>
    <w:rsid w:val="002D148C"/>
    <w:rsid w:val="002D450A"/>
    <w:rsid w:val="002D69D8"/>
    <w:rsid w:val="002E0A47"/>
    <w:rsid w:val="002E0CC8"/>
    <w:rsid w:val="002F652E"/>
    <w:rsid w:val="00301B4F"/>
    <w:rsid w:val="00302A54"/>
    <w:rsid w:val="00312662"/>
    <w:rsid w:val="003168DC"/>
    <w:rsid w:val="00320F83"/>
    <w:rsid w:val="0032192C"/>
    <w:rsid w:val="00326BC2"/>
    <w:rsid w:val="003339E0"/>
    <w:rsid w:val="00336C2E"/>
    <w:rsid w:val="00341D54"/>
    <w:rsid w:val="0034697A"/>
    <w:rsid w:val="00347A45"/>
    <w:rsid w:val="003530D3"/>
    <w:rsid w:val="00353CF7"/>
    <w:rsid w:val="00356619"/>
    <w:rsid w:val="00361486"/>
    <w:rsid w:val="003643F7"/>
    <w:rsid w:val="00365C56"/>
    <w:rsid w:val="003661CF"/>
    <w:rsid w:val="003726CE"/>
    <w:rsid w:val="003734C5"/>
    <w:rsid w:val="003742B8"/>
    <w:rsid w:val="00390210"/>
    <w:rsid w:val="00391766"/>
    <w:rsid w:val="00397E78"/>
    <w:rsid w:val="003A05D9"/>
    <w:rsid w:val="003A55B5"/>
    <w:rsid w:val="003B4278"/>
    <w:rsid w:val="003C0E87"/>
    <w:rsid w:val="003C172D"/>
    <w:rsid w:val="003C199A"/>
    <w:rsid w:val="003C3910"/>
    <w:rsid w:val="003C4601"/>
    <w:rsid w:val="003C72FB"/>
    <w:rsid w:val="003C7937"/>
    <w:rsid w:val="003D11FD"/>
    <w:rsid w:val="003D7AC8"/>
    <w:rsid w:val="003E5C0F"/>
    <w:rsid w:val="003F09EB"/>
    <w:rsid w:val="003F2195"/>
    <w:rsid w:val="003F406A"/>
    <w:rsid w:val="00400E58"/>
    <w:rsid w:val="00404714"/>
    <w:rsid w:val="004047FF"/>
    <w:rsid w:val="0040733F"/>
    <w:rsid w:val="00407ED4"/>
    <w:rsid w:val="00411561"/>
    <w:rsid w:val="00421310"/>
    <w:rsid w:val="0043206B"/>
    <w:rsid w:val="00440208"/>
    <w:rsid w:val="00443C12"/>
    <w:rsid w:val="00443DD9"/>
    <w:rsid w:val="00444E28"/>
    <w:rsid w:val="00453266"/>
    <w:rsid w:val="00454E0C"/>
    <w:rsid w:val="00461C12"/>
    <w:rsid w:val="00463A99"/>
    <w:rsid w:val="004644FF"/>
    <w:rsid w:val="004656D1"/>
    <w:rsid w:val="004665FA"/>
    <w:rsid w:val="0047432F"/>
    <w:rsid w:val="00483297"/>
    <w:rsid w:val="00484537"/>
    <w:rsid w:val="0049680E"/>
    <w:rsid w:val="00497BB9"/>
    <w:rsid w:val="004A1B26"/>
    <w:rsid w:val="004A2743"/>
    <w:rsid w:val="004A3052"/>
    <w:rsid w:val="004A5EF8"/>
    <w:rsid w:val="004B0C47"/>
    <w:rsid w:val="004B1CE9"/>
    <w:rsid w:val="004B52FD"/>
    <w:rsid w:val="004C37F6"/>
    <w:rsid w:val="004D2A4B"/>
    <w:rsid w:val="004D4242"/>
    <w:rsid w:val="004D4E28"/>
    <w:rsid w:val="004D59F1"/>
    <w:rsid w:val="004D6323"/>
    <w:rsid w:val="004E2542"/>
    <w:rsid w:val="004E4FFA"/>
    <w:rsid w:val="004E53D9"/>
    <w:rsid w:val="004E7047"/>
    <w:rsid w:val="004E738A"/>
    <w:rsid w:val="004F68FF"/>
    <w:rsid w:val="004F69B7"/>
    <w:rsid w:val="00506AC5"/>
    <w:rsid w:val="0051098F"/>
    <w:rsid w:val="00515C03"/>
    <w:rsid w:val="005314FE"/>
    <w:rsid w:val="005358E7"/>
    <w:rsid w:val="00536B68"/>
    <w:rsid w:val="00537CE1"/>
    <w:rsid w:val="005448B7"/>
    <w:rsid w:val="00550354"/>
    <w:rsid w:val="005522EB"/>
    <w:rsid w:val="00555E06"/>
    <w:rsid w:val="00561E5E"/>
    <w:rsid w:val="00565838"/>
    <w:rsid w:val="005661B4"/>
    <w:rsid w:val="00570C66"/>
    <w:rsid w:val="005736C7"/>
    <w:rsid w:val="005741C5"/>
    <w:rsid w:val="00577267"/>
    <w:rsid w:val="00577E2B"/>
    <w:rsid w:val="005821F4"/>
    <w:rsid w:val="00586700"/>
    <w:rsid w:val="00590F4B"/>
    <w:rsid w:val="00591018"/>
    <w:rsid w:val="00592554"/>
    <w:rsid w:val="005A4B8D"/>
    <w:rsid w:val="005A5CF5"/>
    <w:rsid w:val="005B3FF8"/>
    <w:rsid w:val="005B54F5"/>
    <w:rsid w:val="005B7E66"/>
    <w:rsid w:val="005C2B22"/>
    <w:rsid w:val="005C5C56"/>
    <w:rsid w:val="005D6476"/>
    <w:rsid w:val="005E56D2"/>
    <w:rsid w:val="005E6CE6"/>
    <w:rsid w:val="005F3973"/>
    <w:rsid w:val="005F7D7B"/>
    <w:rsid w:val="006053DD"/>
    <w:rsid w:val="0060594A"/>
    <w:rsid w:val="00607ED5"/>
    <w:rsid w:val="00612B53"/>
    <w:rsid w:val="00612DCE"/>
    <w:rsid w:val="0061398A"/>
    <w:rsid w:val="00614DAF"/>
    <w:rsid w:val="006174D6"/>
    <w:rsid w:val="00617D08"/>
    <w:rsid w:val="006302FE"/>
    <w:rsid w:val="0063515D"/>
    <w:rsid w:val="006373D8"/>
    <w:rsid w:val="00641CA8"/>
    <w:rsid w:val="00644D84"/>
    <w:rsid w:val="00647D57"/>
    <w:rsid w:val="0065402B"/>
    <w:rsid w:val="00665E95"/>
    <w:rsid w:val="00665F6E"/>
    <w:rsid w:val="00667AC4"/>
    <w:rsid w:val="00676B9A"/>
    <w:rsid w:val="00680F42"/>
    <w:rsid w:val="00684DB7"/>
    <w:rsid w:val="006922C2"/>
    <w:rsid w:val="0069419D"/>
    <w:rsid w:val="00694351"/>
    <w:rsid w:val="0069505A"/>
    <w:rsid w:val="00696399"/>
    <w:rsid w:val="006A0D42"/>
    <w:rsid w:val="006B77AD"/>
    <w:rsid w:val="006C2801"/>
    <w:rsid w:val="006C5C91"/>
    <w:rsid w:val="006D012C"/>
    <w:rsid w:val="006D5F9A"/>
    <w:rsid w:val="006D6F6E"/>
    <w:rsid w:val="006E3C49"/>
    <w:rsid w:val="006E5834"/>
    <w:rsid w:val="00701672"/>
    <w:rsid w:val="00702441"/>
    <w:rsid w:val="00711E7E"/>
    <w:rsid w:val="00713E8B"/>
    <w:rsid w:val="00722DA4"/>
    <w:rsid w:val="00731925"/>
    <w:rsid w:val="0073443C"/>
    <w:rsid w:val="0074729D"/>
    <w:rsid w:val="00752D26"/>
    <w:rsid w:val="00764F51"/>
    <w:rsid w:val="0076630A"/>
    <w:rsid w:val="00767369"/>
    <w:rsid w:val="007721D0"/>
    <w:rsid w:val="007735EB"/>
    <w:rsid w:val="00785FEC"/>
    <w:rsid w:val="00793107"/>
    <w:rsid w:val="00793788"/>
    <w:rsid w:val="00796751"/>
    <w:rsid w:val="007967E2"/>
    <w:rsid w:val="007A3479"/>
    <w:rsid w:val="007B3A0E"/>
    <w:rsid w:val="007B4F91"/>
    <w:rsid w:val="007B57D1"/>
    <w:rsid w:val="007C1376"/>
    <w:rsid w:val="007C1993"/>
    <w:rsid w:val="007C7536"/>
    <w:rsid w:val="007D168F"/>
    <w:rsid w:val="007E16B0"/>
    <w:rsid w:val="007E2FF3"/>
    <w:rsid w:val="007E7822"/>
    <w:rsid w:val="007F3193"/>
    <w:rsid w:val="007F4D98"/>
    <w:rsid w:val="007F57CE"/>
    <w:rsid w:val="008006EF"/>
    <w:rsid w:val="00801543"/>
    <w:rsid w:val="008206D4"/>
    <w:rsid w:val="00820A34"/>
    <w:rsid w:val="00823A71"/>
    <w:rsid w:val="008309D4"/>
    <w:rsid w:val="00832F58"/>
    <w:rsid w:val="00841D43"/>
    <w:rsid w:val="00841D7F"/>
    <w:rsid w:val="00845FA0"/>
    <w:rsid w:val="008463F3"/>
    <w:rsid w:val="00851788"/>
    <w:rsid w:val="00873C9B"/>
    <w:rsid w:val="00874A08"/>
    <w:rsid w:val="00876060"/>
    <w:rsid w:val="008771BA"/>
    <w:rsid w:val="008820DF"/>
    <w:rsid w:val="00883998"/>
    <w:rsid w:val="00885C2F"/>
    <w:rsid w:val="008875AD"/>
    <w:rsid w:val="008A26EA"/>
    <w:rsid w:val="008B2618"/>
    <w:rsid w:val="008B2956"/>
    <w:rsid w:val="008B3805"/>
    <w:rsid w:val="008B4F24"/>
    <w:rsid w:val="008C4912"/>
    <w:rsid w:val="008C69A9"/>
    <w:rsid w:val="008D0DC9"/>
    <w:rsid w:val="008D46B7"/>
    <w:rsid w:val="008D587F"/>
    <w:rsid w:val="008D6FA1"/>
    <w:rsid w:val="008E6EFE"/>
    <w:rsid w:val="008F0D48"/>
    <w:rsid w:val="008F7718"/>
    <w:rsid w:val="009040F4"/>
    <w:rsid w:val="00904DFB"/>
    <w:rsid w:val="00906A34"/>
    <w:rsid w:val="00906E57"/>
    <w:rsid w:val="00914F63"/>
    <w:rsid w:val="00921BD1"/>
    <w:rsid w:val="00922E71"/>
    <w:rsid w:val="00923DF0"/>
    <w:rsid w:val="009246EB"/>
    <w:rsid w:val="00932B9B"/>
    <w:rsid w:val="0093342F"/>
    <w:rsid w:val="009343B9"/>
    <w:rsid w:val="00934B0A"/>
    <w:rsid w:val="00937C2A"/>
    <w:rsid w:val="0094297E"/>
    <w:rsid w:val="009430F4"/>
    <w:rsid w:val="00951124"/>
    <w:rsid w:val="00952629"/>
    <w:rsid w:val="00952823"/>
    <w:rsid w:val="00956033"/>
    <w:rsid w:val="00956E3E"/>
    <w:rsid w:val="009571ED"/>
    <w:rsid w:val="00964171"/>
    <w:rsid w:val="00964843"/>
    <w:rsid w:val="0096586F"/>
    <w:rsid w:val="0098005A"/>
    <w:rsid w:val="009805F1"/>
    <w:rsid w:val="0098096E"/>
    <w:rsid w:val="009832D9"/>
    <w:rsid w:val="00983BE4"/>
    <w:rsid w:val="00983CB8"/>
    <w:rsid w:val="0098460A"/>
    <w:rsid w:val="00992141"/>
    <w:rsid w:val="0099291B"/>
    <w:rsid w:val="009A0228"/>
    <w:rsid w:val="009A18BA"/>
    <w:rsid w:val="009A393F"/>
    <w:rsid w:val="009A487A"/>
    <w:rsid w:val="009A5662"/>
    <w:rsid w:val="009A74E7"/>
    <w:rsid w:val="009A75FE"/>
    <w:rsid w:val="009B4C87"/>
    <w:rsid w:val="009B7DC3"/>
    <w:rsid w:val="009C4354"/>
    <w:rsid w:val="009D0ECC"/>
    <w:rsid w:val="009D20BF"/>
    <w:rsid w:val="009D5B75"/>
    <w:rsid w:val="009D7404"/>
    <w:rsid w:val="009D7D53"/>
    <w:rsid w:val="009E0150"/>
    <w:rsid w:val="009E58D4"/>
    <w:rsid w:val="009E5F4A"/>
    <w:rsid w:val="009F0CC9"/>
    <w:rsid w:val="009F2C29"/>
    <w:rsid w:val="009F3E11"/>
    <w:rsid w:val="009F424E"/>
    <w:rsid w:val="009F6D04"/>
    <w:rsid w:val="00A055FD"/>
    <w:rsid w:val="00A058E0"/>
    <w:rsid w:val="00A07983"/>
    <w:rsid w:val="00A20CFE"/>
    <w:rsid w:val="00A2457A"/>
    <w:rsid w:val="00A2491E"/>
    <w:rsid w:val="00A2523B"/>
    <w:rsid w:val="00A30C43"/>
    <w:rsid w:val="00A34874"/>
    <w:rsid w:val="00A366C4"/>
    <w:rsid w:val="00A36C69"/>
    <w:rsid w:val="00A406F3"/>
    <w:rsid w:val="00A40714"/>
    <w:rsid w:val="00A4404E"/>
    <w:rsid w:val="00A500F9"/>
    <w:rsid w:val="00A50309"/>
    <w:rsid w:val="00A53F85"/>
    <w:rsid w:val="00A61417"/>
    <w:rsid w:val="00A6740C"/>
    <w:rsid w:val="00A72D57"/>
    <w:rsid w:val="00A75C41"/>
    <w:rsid w:val="00A805BB"/>
    <w:rsid w:val="00A84CCC"/>
    <w:rsid w:val="00A86B16"/>
    <w:rsid w:val="00A907DE"/>
    <w:rsid w:val="00A96537"/>
    <w:rsid w:val="00A976D7"/>
    <w:rsid w:val="00AA1765"/>
    <w:rsid w:val="00AA2E7B"/>
    <w:rsid w:val="00AB0A62"/>
    <w:rsid w:val="00AB2310"/>
    <w:rsid w:val="00AB50DB"/>
    <w:rsid w:val="00AC0392"/>
    <w:rsid w:val="00AC1884"/>
    <w:rsid w:val="00AC7493"/>
    <w:rsid w:val="00AD0F72"/>
    <w:rsid w:val="00AD498B"/>
    <w:rsid w:val="00AD5821"/>
    <w:rsid w:val="00AE2C4E"/>
    <w:rsid w:val="00AE3BE9"/>
    <w:rsid w:val="00AE620B"/>
    <w:rsid w:val="00AE71E9"/>
    <w:rsid w:val="00AE7E88"/>
    <w:rsid w:val="00AF0494"/>
    <w:rsid w:val="00AF2DF3"/>
    <w:rsid w:val="00AF2F27"/>
    <w:rsid w:val="00AF361F"/>
    <w:rsid w:val="00AF49EB"/>
    <w:rsid w:val="00AF51A8"/>
    <w:rsid w:val="00B0097E"/>
    <w:rsid w:val="00B0271C"/>
    <w:rsid w:val="00B03D36"/>
    <w:rsid w:val="00B073E3"/>
    <w:rsid w:val="00B10CBA"/>
    <w:rsid w:val="00B1147F"/>
    <w:rsid w:val="00B1543A"/>
    <w:rsid w:val="00B15ABE"/>
    <w:rsid w:val="00B15E02"/>
    <w:rsid w:val="00B209EB"/>
    <w:rsid w:val="00B233A3"/>
    <w:rsid w:val="00B25AA5"/>
    <w:rsid w:val="00B27DDC"/>
    <w:rsid w:val="00B33B54"/>
    <w:rsid w:val="00B37443"/>
    <w:rsid w:val="00B65CB4"/>
    <w:rsid w:val="00B7106C"/>
    <w:rsid w:val="00B722D5"/>
    <w:rsid w:val="00B80466"/>
    <w:rsid w:val="00B81719"/>
    <w:rsid w:val="00B846C7"/>
    <w:rsid w:val="00B84D0C"/>
    <w:rsid w:val="00B85871"/>
    <w:rsid w:val="00B9486E"/>
    <w:rsid w:val="00BA3AE8"/>
    <w:rsid w:val="00BA6424"/>
    <w:rsid w:val="00BB2A91"/>
    <w:rsid w:val="00BC7811"/>
    <w:rsid w:val="00BC7EED"/>
    <w:rsid w:val="00BD095D"/>
    <w:rsid w:val="00BD2DA4"/>
    <w:rsid w:val="00BD61CF"/>
    <w:rsid w:val="00BE209D"/>
    <w:rsid w:val="00BE3DFD"/>
    <w:rsid w:val="00BE5BEB"/>
    <w:rsid w:val="00BE78A0"/>
    <w:rsid w:val="00BF078E"/>
    <w:rsid w:val="00BF6294"/>
    <w:rsid w:val="00C00F05"/>
    <w:rsid w:val="00C031BE"/>
    <w:rsid w:val="00C109D0"/>
    <w:rsid w:val="00C10EE6"/>
    <w:rsid w:val="00C126A0"/>
    <w:rsid w:val="00C15497"/>
    <w:rsid w:val="00C159E3"/>
    <w:rsid w:val="00C1645A"/>
    <w:rsid w:val="00C17DCB"/>
    <w:rsid w:val="00C22B85"/>
    <w:rsid w:val="00C26066"/>
    <w:rsid w:val="00C268BC"/>
    <w:rsid w:val="00C27F89"/>
    <w:rsid w:val="00C3011D"/>
    <w:rsid w:val="00C3035E"/>
    <w:rsid w:val="00C31367"/>
    <w:rsid w:val="00C359D6"/>
    <w:rsid w:val="00C41D09"/>
    <w:rsid w:val="00C437F5"/>
    <w:rsid w:val="00C43C5B"/>
    <w:rsid w:val="00C45AC4"/>
    <w:rsid w:val="00C51DC2"/>
    <w:rsid w:val="00C80058"/>
    <w:rsid w:val="00C801C5"/>
    <w:rsid w:val="00C814F5"/>
    <w:rsid w:val="00C835F3"/>
    <w:rsid w:val="00C876FB"/>
    <w:rsid w:val="00C91AC8"/>
    <w:rsid w:val="00C95989"/>
    <w:rsid w:val="00C95F82"/>
    <w:rsid w:val="00CA1940"/>
    <w:rsid w:val="00CB365A"/>
    <w:rsid w:val="00CB6489"/>
    <w:rsid w:val="00CC0C06"/>
    <w:rsid w:val="00CC1D08"/>
    <w:rsid w:val="00CC2666"/>
    <w:rsid w:val="00CC45AA"/>
    <w:rsid w:val="00CC78F9"/>
    <w:rsid w:val="00CD12CE"/>
    <w:rsid w:val="00CD2FB1"/>
    <w:rsid w:val="00CE117E"/>
    <w:rsid w:val="00CE3557"/>
    <w:rsid w:val="00CF0F9E"/>
    <w:rsid w:val="00D00328"/>
    <w:rsid w:val="00D077C4"/>
    <w:rsid w:val="00D10429"/>
    <w:rsid w:val="00D10D9B"/>
    <w:rsid w:val="00D125FB"/>
    <w:rsid w:val="00D239B1"/>
    <w:rsid w:val="00D278F9"/>
    <w:rsid w:val="00D31EA3"/>
    <w:rsid w:val="00D331A9"/>
    <w:rsid w:val="00D35441"/>
    <w:rsid w:val="00D368C3"/>
    <w:rsid w:val="00D4056D"/>
    <w:rsid w:val="00D46838"/>
    <w:rsid w:val="00D51C6C"/>
    <w:rsid w:val="00D56510"/>
    <w:rsid w:val="00D56ACB"/>
    <w:rsid w:val="00D56DCA"/>
    <w:rsid w:val="00D77082"/>
    <w:rsid w:val="00D801DF"/>
    <w:rsid w:val="00D8296D"/>
    <w:rsid w:val="00D853B4"/>
    <w:rsid w:val="00D907E3"/>
    <w:rsid w:val="00D916EE"/>
    <w:rsid w:val="00D92AB6"/>
    <w:rsid w:val="00D9464E"/>
    <w:rsid w:val="00D95CAA"/>
    <w:rsid w:val="00DA036F"/>
    <w:rsid w:val="00DA6ED1"/>
    <w:rsid w:val="00DC1506"/>
    <w:rsid w:val="00DD0785"/>
    <w:rsid w:val="00DD5DD5"/>
    <w:rsid w:val="00DE0D7B"/>
    <w:rsid w:val="00DE4D21"/>
    <w:rsid w:val="00DE6BD0"/>
    <w:rsid w:val="00DE703E"/>
    <w:rsid w:val="00DF065B"/>
    <w:rsid w:val="00DF6706"/>
    <w:rsid w:val="00E02593"/>
    <w:rsid w:val="00E03962"/>
    <w:rsid w:val="00E0572F"/>
    <w:rsid w:val="00E076AA"/>
    <w:rsid w:val="00E07F45"/>
    <w:rsid w:val="00E10326"/>
    <w:rsid w:val="00E13A70"/>
    <w:rsid w:val="00E16046"/>
    <w:rsid w:val="00E208AE"/>
    <w:rsid w:val="00E21425"/>
    <w:rsid w:val="00E24E68"/>
    <w:rsid w:val="00E252EE"/>
    <w:rsid w:val="00E254B1"/>
    <w:rsid w:val="00E308F5"/>
    <w:rsid w:val="00E326BE"/>
    <w:rsid w:val="00E331F2"/>
    <w:rsid w:val="00E40752"/>
    <w:rsid w:val="00E436C2"/>
    <w:rsid w:val="00E44413"/>
    <w:rsid w:val="00E46E81"/>
    <w:rsid w:val="00E55D59"/>
    <w:rsid w:val="00E56693"/>
    <w:rsid w:val="00E56C31"/>
    <w:rsid w:val="00E6498D"/>
    <w:rsid w:val="00E65205"/>
    <w:rsid w:val="00E66819"/>
    <w:rsid w:val="00E67D42"/>
    <w:rsid w:val="00E7531B"/>
    <w:rsid w:val="00E75400"/>
    <w:rsid w:val="00E77CDE"/>
    <w:rsid w:val="00E87D0A"/>
    <w:rsid w:val="00E90F23"/>
    <w:rsid w:val="00E929B8"/>
    <w:rsid w:val="00E94863"/>
    <w:rsid w:val="00EA23CF"/>
    <w:rsid w:val="00EA6CAB"/>
    <w:rsid w:val="00EB0F69"/>
    <w:rsid w:val="00EB2510"/>
    <w:rsid w:val="00EB4BCE"/>
    <w:rsid w:val="00EB5B42"/>
    <w:rsid w:val="00EB5CC2"/>
    <w:rsid w:val="00EB5F66"/>
    <w:rsid w:val="00EC1209"/>
    <w:rsid w:val="00EC5BB4"/>
    <w:rsid w:val="00ED0388"/>
    <w:rsid w:val="00ED413D"/>
    <w:rsid w:val="00ED4593"/>
    <w:rsid w:val="00ED5ABE"/>
    <w:rsid w:val="00ED6782"/>
    <w:rsid w:val="00EE1C89"/>
    <w:rsid w:val="00EE4F05"/>
    <w:rsid w:val="00EF1863"/>
    <w:rsid w:val="00EF22F3"/>
    <w:rsid w:val="00EF3313"/>
    <w:rsid w:val="00EF3461"/>
    <w:rsid w:val="00EF5D3B"/>
    <w:rsid w:val="00F0129A"/>
    <w:rsid w:val="00F02CC6"/>
    <w:rsid w:val="00F0558D"/>
    <w:rsid w:val="00F06D0C"/>
    <w:rsid w:val="00F13C7A"/>
    <w:rsid w:val="00F2043C"/>
    <w:rsid w:val="00F21581"/>
    <w:rsid w:val="00F2239F"/>
    <w:rsid w:val="00F22E17"/>
    <w:rsid w:val="00F246EF"/>
    <w:rsid w:val="00F268A7"/>
    <w:rsid w:val="00F340BF"/>
    <w:rsid w:val="00F422C0"/>
    <w:rsid w:val="00F44723"/>
    <w:rsid w:val="00F501CD"/>
    <w:rsid w:val="00F563C3"/>
    <w:rsid w:val="00F56729"/>
    <w:rsid w:val="00F60850"/>
    <w:rsid w:val="00F67A67"/>
    <w:rsid w:val="00F74BBB"/>
    <w:rsid w:val="00F829B9"/>
    <w:rsid w:val="00FA120B"/>
    <w:rsid w:val="00FA4DE6"/>
    <w:rsid w:val="00FA56F0"/>
    <w:rsid w:val="00FA67DA"/>
    <w:rsid w:val="00FB17A1"/>
    <w:rsid w:val="00FB2E28"/>
    <w:rsid w:val="00FB3722"/>
    <w:rsid w:val="00FC5641"/>
    <w:rsid w:val="00FC7144"/>
    <w:rsid w:val="00FD1079"/>
    <w:rsid w:val="00FD12BD"/>
    <w:rsid w:val="00FD37C5"/>
    <w:rsid w:val="00FD46D9"/>
    <w:rsid w:val="00FE0D39"/>
    <w:rsid w:val="00FE272D"/>
    <w:rsid w:val="00FE2F2C"/>
    <w:rsid w:val="00FE3A29"/>
    <w:rsid w:val="00FE4000"/>
    <w:rsid w:val="00FE7295"/>
    <w:rsid w:val="00FF130D"/>
    <w:rsid w:val="00FF77D3"/>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5CAA"/>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9A5662"/>
    <w:rPr>
      <w:rFonts w:ascii="Tahoma" w:hAnsi="Tahoma" w:cs="Tahoma"/>
      <w:sz w:val="16"/>
      <w:szCs w:val="16"/>
    </w:rPr>
  </w:style>
  <w:style w:type="character" w:customStyle="1" w:styleId="TextbublinyChar">
    <w:name w:val="Text bubliny Char"/>
    <w:basedOn w:val="Standardnpsmoodstavce"/>
    <w:link w:val="Textbubliny"/>
    <w:uiPriority w:val="99"/>
    <w:semiHidden/>
    <w:rsid w:val="009A5662"/>
    <w:rPr>
      <w:rFonts w:ascii="Tahoma" w:eastAsia="Times New Roman" w:hAnsi="Tahoma" w:cs="Tahoma"/>
      <w:sz w:val="16"/>
      <w:szCs w:val="16"/>
      <w:lang w:eastAsia="cs-CZ"/>
    </w:rPr>
  </w:style>
  <w:style w:type="paragraph" w:styleId="Zhlav">
    <w:name w:val="header"/>
    <w:basedOn w:val="Normln"/>
    <w:link w:val="ZhlavChar"/>
    <w:uiPriority w:val="99"/>
    <w:unhideWhenUsed/>
    <w:rsid w:val="00242386"/>
    <w:pPr>
      <w:tabs>
        <w:tab w:val="center" w:pos="4536"/>
        <w:tab w:val="right" w:pos="9072"/>
      </w:tabs>
    </w:pPr>
  </w:style>
  <w:style w:type="character" w:customStyle="1" w:styleId="ZhlavChar">
    <w:name w:val="Záhlaví Char"/>
    <w:basedOn w:val="Standardnpsmoodstavce"/>
    <w:link w:val="Zhlav"/>
    <w:uiPriority w:val="99"/>
    <w:rsid w:val="00242386"/>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42386"/>
    <w:pPr>
      <w:tabs>
        <w:tab w:val="center" w:pos="4536"/>
        <w:tab w:val="right" w:pos="9072"/>
      </w:tabs>
    </w:pPr>
  </w:style>
  <w:style w:type="character" w:customStyle="1" w:styleId="ZpatChar">
    <w:name w:val="Zápatí Char"/>
    <w:basedOn w:val="Standardnpsmoodstavce"/>
    <w:link w:val="Zpat"/>
    <w:uiPriority w:val="99"/>
    <w:rsid w:val="00242386"/>
    <w:rPr>
      <w:rFonts w:ascii="Times New Roman" w:eastAsia="Times New Roman" w:hAnsi="Times New Roman" w:cs="Times New Roman"/>
      <w:sz w:val="24"/>
      <w:szCs w:val="24"/>
      <w:lang w:eastAsia="cs-CZ"/>
    </w:rPr>
  </w:style>
  <w:style w:type="paragraph" w:styleId="Podtitul">
    <w:name w:val="Subtitle"/>
    <w:basedOn w:val="Normln"/>
    <w:next w:val="Normln"/>
    <w:link w:val="PodtitulChar"/>
    <w:uiPriority w:val="11"/>
    <w:qFormat/>
    <w:rsid w:val="00242386"/>
    <w:pPr>
      <w:spacing w:after="60"/>
      <w:jc w:val="center"/>
      <w:outlineLvl w:val="1"/>
    </w:pPr>
    <w:rPr>
      <w:rFonts w:ascii="Cambria" w:hAnsi="Cambria"/>
    </w:rPr>
  </w:style>
  <w:style w:type="character" w:customStyle="1" w:styleId="PodtitulChar">
    <w:name w:val="Podtitul Char"/>
    <w:basedOn w:val="Standardnpsmoodstavce"/>
    <w:link w:val="Podtitul"/>
    <w:uiPriority w:val="11"/>
    <w:rsid w:val="00242386"/>
    <w:rPr>
      <w:rFonts w:ascii="Cambria" w:eastAsia="Times New Roman" w:hAnsi="Cambria" w:cs="Times New Roman"/>
      <w:sz w:val="24"/>
      <w:szCs w:val="24"/>
      <w:lang w:eastAsia="cs-CZ"/>
    </w:rPr>
  </w:style>
  <w:style w:type="paragraph" w:customStyle="1" w:styleId="Popisky">
    <w:name w:val="Popisky"/>
    <w:basedOn w:val="Normln"/>
    <w:rsid w:val="00C126A0"/>
    <w:rPr>
      <w:rFonts w:ascii="Arial" w:eastAsia="Calibri" w:hAnsi="Arial" w:cs="Arial"/>
      <w:sz w:val="20"/>
      <w:szCs w:val="20"/>
    </w:rPr>
  </w:style>
  <w:style w:type="paragraph" w:customStyle="1" w:styleId="Default">
    <w:name w:val="Default"/>
    <w:rsid w:val="00C126A0"/>
    <w:pPr>
      <w:autoSpaceDE w:val="0"/>
      <w:autoSpaceDN w:val="0"/>
      <w:adjustRightInd w:val="0"/>
      <w:spacing w:after="0" w:line="240" w:lineRule="auto"/>
    </w:pPr>
    <w:rPr>
      <w:rFonts w:ascii="Calibri" w:hAnsi="Calibri" w:cs="Calibri"/>
      <w:color w:val="000000"/>
      <w:sz w:val="24"/>
      <w:szCs w:val="24"/>
    </w:rPr>
  </w:style>
  <w:style w:type="paragraph" w:styleId="Zkladntext2">
    <w:name w:val="Body Text 2"/>
    <w:basedOn w:val="Normln"/>
    <w:link w:val="Zkladntext2Char"/>
    <w:rsid w:val="00E6498D"/>
    <w:pPr>
      <w:jc w:val="center"/>
    </w:pPr>
    <w:rPr>
      <w:b/>
      <w:bCs/>
      <w:sz w:val="28"/>
      <w:szCs w:val="20"/>
    </w:rPr>
  </w:style>
  <w:style w:type="character" w:customStyle="1" w:styleId="Zkladntext2Char">
    <w:name w:val="Základní text 2 Char"/>
    <w:basedOn w:val="Standardnpsmoodstavce"/>
    <w:link w:val="Zkladntext2"/>
    <w:rsid w:val="00E6498D"/>
    <w:rPr>
      <w:rFonts w:ascii="Times New Roman" w:eastAsia="Times New Roman" w:hAnsi="Times New Roman" w:cs="Times New Roman"/>
      <w:b/>
      <w:bCs/>
      <w:sz w:val="28"/>
      <w:szCs w:val="20"/>
      <w:lang w:eastAsia="cs-CZ"/>
    </w:rPr>
  </w:style>
  <w:style w:type="paragraph" w:styleId="Normlnweb">
    <w:name w:val="Normal (Web)"/>
    <w:basedOn w:val="Normln"/>
    <w:uiPriority w:val="99"/>
    <w:semiHidden/>
    <w:unhideWhenUsed/>
    <w:rsid w:val="00D853B4"/>
    <w:pPr>
      <w:spacing w:before="100" w:beforeAutospacing="1" w:after="100" w:afterAutospacing="1"/>
    </w:pPr>
  </w:style>
  <w:style w:type="paragraph" w:styleId="Odstavecseseznamem">
    <w:name w:val="List Paragraph"/>
    <w:basedOn w:val="Normln"/>
    <w:uiPriority w:val="34"/>
    <w:qFormat/>
    <w:rsid w:val="00C95F82"/>
    <w:pPr>
      <w:ind w:left="720"/>
      <w:contextualSpacing/>
    </w:pPr>
    <w:rPr>
      <w:lang w:eastAsia="en-US"/>
    </w:rPr>
  </w:style>
  <w:style w:type="table" w:styleId="Mkatabulky">
    <w:name w:val="Table Grid"/>
    <w:basedOn w:val="Normlntabulka"/>
    <w:uiPriority w:val="59"/>
    <w:rsid w:val="00C3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301B4F"/>
    <w:rPr>
      <w:sz w:val="16"/>
      <w:szCs w:val="16"/>
    </w:rPr>
  </w:style>
  <w:style w:type="paragraph" w:styleId="Textkomente">
    <w:name w:val="annotation text"/>
    <w:basedOn w:val="Normln"/>
    <w:link w:val="TextkomenteChar"/>
    <w:uiPriority w:val="99"/>
    <w:semiHidden/>
    <w:unhideWhenUsed/>
    <w:rsid w:val="00301B4F"/>
    <w:rPr>
      <w:sz w:val="20"/>
      <w:szCs w:val="20"/>
    </w:rPr>
  </w:style>
  <w:style w:type="character" w:customStyle="1" w:styleId="TextkomenteChar">
    <w:name w:val="Text komentáře Char"/>
    <w:basedOn w:val="Standardnpsmoodstavce"/>
    <w:link w:val="Textkomente"/>
    <w:uiPriority w:val="99"/>
    <w:semiHidden/>
    <w:rsid w:val="00301B4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301B4F"/>
    <w:rPr>
      <w:b/>
      <w:bCs/>
    </w:rPr>
  </w:style>
  <w:style w:type="character" w:customStyle="1" w:styleId="PedmtkomenteChar">
    <w:name w:val="Předmět komentáře Char"/>
    <w:basedOn w:val="TextkomenteChar"/>
    <w:link w:val="Pedmtkomente"/>
    <w:uiPriority w:val="99"/>
    <w:semiHidden/>
    <w:rsid w:val="00301B4F"/>
    <w:rPr>
      <w:rFonts w:ascii="Times New Roman" w:eastAsia="Times New Roman" w:hAnsi="Times New Roman" w:cs="Times New Roman"/>
      <w:b/>
      <w:bCs/>
      <w:sz w:val="20"/>
      <w:szCs w:val="20"/>
      <w:lang w:eastAsia="cs-CZ"/>
    </w:rPr>
  </w:style>
  <w:style w:type="paragraph" w:customStyle="1" w:styleId="Vnitnadresa">
    <w:name w:val="Vnitřní adresa"/>
    <w:basedOn w:val="Zkladntext"/>
    <w:autoRedefine/>
    <w:uiPriority w:val="99"/>
    <w:rsid w:val="00DC1506"/>
    <w:pPr>
      <w:spacing w:after="0"/>
      <w:jc w:val="both"/>
    </w:pPr>
    <w:rPr>
      <w:rFonts w:ascii="Arial" w:eastAsia="Calibri" w:hAnsi="Arial" w:cs="Arial"/>
      <w:spacing w:val="-5"/>
      <w:sz w:val="22"/>
      <w:szCs w:val="22"/>
    </w:rPr>
  </w:style>
  <w:style w:type="paragraph" w:styleId="Zkladntext">
    <w:name w:val="Body Text"/>
    <w:basedOn w:val="Normln"/>
    <w:link w:val="ZkladntextChar"/>
    <w:uiPriority w:val="99"/>
    <w:semiHidden/>
    <w:unhideWhenUsed/>
    <w:rsid w:val="00AB0A62"/>
    <w:pPr>
      <w:spacing w:after="120"/>
    </w:pPr>
  </w:style>
  <w:style w:type="character" w:customStyle="1" w:styleId="ZkladntextChar">
    <w:name w:val="Základní text Char"/>
    <w:basedOn w:val="Standardnpsmoodstavce"/>
    <w:link w:val="Zkladntext"/>
    <w:uiPriority w:val="99"/>
    <w:semiHidden/>
    <w:rsid w:val="00AB0A62"/>
    <w:rPr>
      <w:rFonts w:ascii="Times New Roman" w:eastAsia="Times New Roman" w:hAnsi="Times New Roman" w:cs="Times New Roman"/>
      <w:sz w:val="24"/>
      <w:szCs w:val="24"/>
      <w:lang w:eastAsia="cs-CZ"/>
    </w:rPr>
  </w:style>
  <w:style w:type="paragraph" w:customStyle="1" w:styleId="Odstavec">
    <w:name w:val="Odstavec"/>
    <w:basedOn w:val="Normln"/>
    <w:uiPriority w:val="99"/>
    <w:rsid w:val="00AB0A62"/>
    <w:pPr>
      <w:numPr>
        <w:numId w:val="10"/>
      </w:numPr>
      <w:spacing w:before="120" w:after="120"/>
      <w:jc w:val="both"/>
    </w:pPr>
    <w:rPr>
      <w:rFonts w:eastAsia="Calibri"/>
      <w:sz w:val="26"/>
    </w:rPr>
  </w:style>
  <w:style w:type="paragraph" w:customStyle="1" w:styleId="Pismeno">
    <w:name w:val="Pismeno"/>
    <w:basedOn w:val="Odstavec"/>
    <w:uiPriority w:val="99"/>
    <w:rsid w:val="00AB0A62"/>
    <w:pPr>
      <w:numPr>
        <w:ilvl w:val="1"/>
      </w:numPr>
    </w:pPr>
  </w:style>
  <w:style w:type="paragraph" w:styleId="Prosttext">
    <w:name w:val="Plain Text"/>
    <w:basedOn w:val="Normln"/>
    <w:link w:val="ProsttextChar"/>
    <w:uiPriority w:val="99"/>
    <w:semiHidden/>
    <w:unhideWhenUsed/>
    <w:rsid w:val="004D59F1"/>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semiHidden/>
    <w:rsid w:val="004D59F1"/>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5CAA"/>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9A5662"/>
    <w:rPr>
      <w:rFonts w:ascii="Tahoma" w:hAnsi="Tahoma" w:cs="Tahoma"/>
      <w:sz w:val="16"/>
      <w:szCs w:val="16"/>
    </w:rPr>
  </w:style>
  <w:style w:type="character" w:customStyle="1" w:styleId="TextbublinyChar">
    <w:name w:val="Text bubliny Char"/>
    <w:basedOn w:val="Standardnpsmoodstavce"/>
    <w:link w:val="Textbubliny"/>
    <w:uiPriority w:val="99"/>
    <w:semiHidden/>
    <w:rsid w:val="009A5662"/>
    <w:rPr>
      <w:rFonts w:ascii="Tahoma" w:eastAsia="Times New Roman" w:hAnsi="Tahoma" w:cs="Tahoma"/>
      <w:sz w:val="16"/>
      <w:szCs w:val="16"/>
      <w:lang w:eastAsia="cs-CZ"/>
    </w:rPr>
  </w:style>
  <w:style w:type="paragraph" w:styleId="Zhlav">
    <w:name w:val="header"/>
    <w:basedOn w:val="Normln"/>
    <w:link w:val="ZhlavChar"/>
    <w:uiPriority w:val="99"/>
    <w:unhideWhenUsed/>
    <w:rsid w:val="00242386"/>
    <w:pPr>
      <w:tabs>
        <w:tab w:val="center" w:pos="4536"/>
        <w:tab w:val="right" w:pos="9072"/>
      </w:tabs>
    </w:pPr>
  </w:style>
  <w:style w:type="character" w:customStyle="1" w:styleId="ZhlavChar">
    <w:name w:val="Záhlaví Char"/>
    <w:basedOn w:val="Standardnpsmoodstavce"/>
    <w:link w:val="Zhlav"/>
    <w:uiPriority w:val="99"/>
    <w:rsid w:val="00242386"/>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42386"/>
    <w:pPr>
      <w:tabs>
        <w:tab w:val="center" w:pos="4536"/>
        <w:tab w:val="right" w:pos="9072"/>
      </w:tabs>
    </w:pPr>
  </w:style>
  <w:style w:type="character" w:customStyle="1" w:styleId="ZpatChar">
    <w:name w:val="Zápatí Char"/>
    <w:basedOn w:val="Standardnpsmoodstavce"/>
    <w:link w:val="Zpat"/>
    <w:uiPriority w:val="99"/>
    <w:rsid w:val="00242386"/>
    <w:rPr>
      <w:rFonts w:ascii="Times New Roman" w:eastAsia="Times New Roman" w:hAnsi="Times New Roman" w:cs="Times New Roman"/>
      <w:sz w:val="24"/>
      <w:szCs w:val="24"/>
      <w:lang w:eastAsia="cs-CZ"/>
    </w:rPr>
  </w:style>
  <w:style w:type="paragraph" w:styleId="Podtitul">
    <w:name w:val="Subtitle"/>
    <w:basedOn w:val="Normln"/>
    <w:next w:val="Normln"/>
    <w:link w:val="PodtitulChar"/>
    <w:uiPriority w:val="11"/>
    <w:qFormat/>
    <w:rsid w:val="00242386"/>
    <w:pPr>
      <w:spacing w:after="60"/>
      <w:jc w:val="center"/>
      <w:outlineLvl w:val="1"/>
    </w:pPr>
    <w:rPr>
      <w:rFonts w:ascii="Cambria" w:hAnsi="Cambria"/>
    </w:rPr>
  </w:style>
  <w:style w:type="character" w:customStyle="1" w:styleId="PodtitulChar">
    <w:name w:val="Podtitul Char"/>
    <w:basedOn w:val="Standardnpsmoodstavce"/>
    <w:link w:val="Podtitul"/>
    <w:uiPriority w:val="11"/>
    <w:rsid w:val="00242386"/>
    <w:rPr>
      <w:rFonts w:ascii="Cambria" w:eastAsia="Times New Roman" w:hAnsi="Cambria" w:cs="Times New Roman"/>
      <w:sz w:val="24"/>
      <w:szCs w:val="24"/>
      <w:lang w:eastAsia="cs-CZ"/>
    </w:rPr>
  </w:style>
  <w:style w:type="paragraph" w:customStyle="1" w:styleId="Popisky">
    <w:name w:val="Popisky"/>
    <w:basedOn w:val="Normln"/>
    <w:rsid w:val="00C126A0"/>
    <w:rPr>
      <w:rFonts w:ascii="Arial" w:eastAsia="Calibri" w:hAnsi="Arial" w:cs="Arial"/>
      <w:sz w:val="20"/>
      <w:szCs w:val="20"/>
    </w:rPr>
  </w:style>
  <w:style w:type="paragraph" w:customStyle="1" w:styleId="Default">
    <w:name w:val="Default"/>
    <w:rsid w:val="00C126A0"/>
    <w:pPr>
      <w:autoSpaceDE w:val="0"/>
      <w:autoSpaceDN w:val="0"/>
      <w:adjustRightInd w:val="0"/>
      <w:spacing w:after="0" w:line="240" w:lineRule="auto"/>
    </w:pPr>
    <w:rPr>
      <w:rFonts w:ascii="Calibri" w:hAnsi="Calibri" w:cs="Calibri"/>
      <w:color w:val="000000"/>
      <w:sz w:val="24"/>
      <w:szCs w:val="24"/>
    </w:rPr>
  </w:style>
  <w:style w:type="paragraph" w:styleId="Zkladntext2">
    <w:name w:val="Body Text 2"/>
    <w:basedOn w:val="Normln"/>
    <w:link w:val="Zkladntext2Char"/>
    <w:rsid w:val="00E6498D"/>
    <w:pPr>
      <w:jc w:val="center"/>
    </w:pPr>
    <w:rPr>
      <w:b/>
      <w:bCs/>
      <w:sz w:val="28"/>
      <w:szCs w:val="20"/>
    </w:rPr>
  </w:style>
  <w:style w:type="character" w:customStyle="1" w:styleId="Zkladntext2Char">
    <w:name w:val="Základní text 2 Char"/>
    <w:basedOn w:val="Standardnpsmoodstavce"/>
    <w:link w:val="Zkladntext2"/>
    <w:rsid w:val="00E6498D"/>
    <w:rPr>
      <w:rFonts w:ascii="Times New Roman" w:eastAsia="Times New Roman" w:hAnsi="Times New Roman" w:cs="Times New Roman"/>
      <w:b/>
      <w:bCs/>
      <w:sz w:val="28"/>
      <w:szCs w:val="20"/>
      <w:lang w:eastAsia="cs-CZ"/>
    </w:rPr>
  </w:style>
  <w:style w:type="paragraph" w:styleId="Normlnweb">
    <w:name w:val="Normal (Web)"/>
    <w:basedOn w:val="Normln"/>
    <w:uiPriority w:val="99"/>
    <w:semiHidden/>
    <w:unhideWhenUsed/>
    <w:rsid w:val="00D853B4"/>
    <w:pPr>
      <w:spacing w:before="100" w:beforeAutospacing="1" w:after="100" w:afterAutospacing="1"/>
    </w:pPr>
  </w:style>
  <w:style w:type="paragraph" w:styleId="Odstavecseseznamem">
    <w:name w:val="List Paragraph"/>
    <w:basedOn w:val="Normln"/>
    <w:uiPriority w:val="34"/>
    <w:qFormat/>
    <w:rsid w:val="00C95F82"/>
    <w:pPr>
      <w:ind w:left="720"/>
      <w:contextualSpacing/>
    </w:pPr>
    <w:rPr>
      <w:lang w:eastAsia="en-US"/>
    </w:rPr>
  </w:style>
  <w:style w:type="table" w:styleId="Mkatabulky">
    <w:name w:val="Table Grid"/>
    <w:basedOn w:val="Normlntabulka"/>
    <w:uiPriority w:val="59"/>
    <w:rsid w:val="00C3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301B4F"/>
    <w:rPr>
      <w:sz w:val="16"/>
      <w:szCs w:val="16"/>
    </w:rPr>
  </w:style>
  <w:style w:type="paragraph" w:styleId="Textkomente">
    <w:name w:val="annotation text"/>
    <w:basedOn w:val="Normln"/>
    <w:link w:val="TextkomenteChar"/>
    <w:uiPriority w:val="99"/>
    <w:semiHidden/>
    <w:unhideWhenUsed/>
    <w:rsid w:val="00301B4F"/>
    <w:rPr>
      <w:sz w:val="20"/>
      <w:szCs w:val="20"/>
    </w:rPr>
  </w:style>
  <w:style w:type="character" w:customStyle="1" w:styleId="TextkomenteChar">
    <w:name w:val="Text komentáře Char"/>
    <w:basedOn w:val="Standardnpsmoodstavce"/>
    <w:link w:val="Textkomente"/>
    <w:uiPriority w:val="99"/>
    <w:semiHidden/>
    <w:rsid w:val="00301B4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301B4F"/>
    <w:rPr>
      <w:b/>
      <w:bCs/>
    </w:rPr>
  </w:style>
  <w:style w:type="character" w:customStyle="1" w:styleId="PedmtkomenteChar">
    <w:name w:val="Předmět komentáře Char"/>
    <w:basedOn w:val="TextkomenteChar"/>
    <w:link w:val="Pedmtkomente"/>
    <w:uiPriority w:val="99"/>
    <w:semiHidden/>
    <w:rsid w:val="00301B4F"/>
    <w:rPr>
      <w:rFonts w:ascii="Times New Roman" w:eastAsia="Times New Roman" w:hAnsi="Times New Roman" w:cs="Times New Roman"/>
      <w:b/>
      <w:bCs/>
      <w:sz w:val="20"/>
      <w:szCs w:val="20"/>
      <w:lang w:eastAsia="cs-CZ"/>
    </w:rPr>
  </w:style>
  <w:style w:type="paragraph" w:customStyle="1" w:styleId="Vnitnadresa">
    <w:name w:val="Vnitřní adresa"/>
    <w:basedOn w:val="Zkladntext"/>
    <w:autoRedefine/>
    <w:uiPriority w:val="99"/>
    <w:rsid w:val="00DC1506"/>
    <w:pPr>
      <w:spacing w:after="0"/>
      <w:jc w:val="both"/>
    </w:pPr>
    <w:rPr>
      <w:rFonts w:ascii="Arial" w:eastAsia="Calibri" w:hAnsi="Arial" w:cs="Arial"/>
      <w:spacing w:val="-5"/>
      <w:sz w:val="22"/>
      <w:szCs w:val="22"/>
    </w:rPr>
  </w:style>
  <w:style w:type="paragraph" w:styleId="Zkladntext">
    <w:name w:val="Body Text"/>
    <w:basedOn w:val="Normln"/>
    <w:link w:val="ZkladntextChar"/>
    <w:uiPriority w:val="99"/>
    <w:semiHidden/>
    <w:unhideWhenUsed/>
    <w:rsid w:val="00AB0A62"/>
    <w:pPr>
      <w:spacing w:after="120"/>
    </w:pPr>
  </w:style>
  <w:style w:type="character" w:customStyle="1" w:styleId="ZkladntextChar">
    <w:name w:val="Základní text Char"/>
    <w:basedOn w:val="Standardnpsmoodstavce"/>
    <w:link w:val="Zkladntext"/>
    <w:uiPriority w:val="99"/>
    <w:semiHidden/>
    <w:rsid w:val="00AB0A62"/>
    <w:rPr>
      <w:rFonts w:ascii="Times New Roman" w:eastAsia="Times New Roman" w:hAnsi="Times New Roman" w:cs="Times New Roman"/>
      <w:sz w:val="24"/>
      <w:szCs w:val="24"/>
      <w:lang w:eastAsia="cs-CZ"/>
    </w:rPr>
  </w:style>
  <w:style w:type="paragraph" w:customStyle="1" w:styleId="Odstavec">
    <w:name w:val="Odstavec"/>
    <w:basedOn w:val="Normln"/>
    <w:uiPriority w:val="99"/>
    <w:rsid w:val="00AB0A62"/>
    <w:pPr>
      <w:numPr>
        <w:numId w:val="10"/>
      </w:numPr>
      <w:spacing w:before="120" w:after="120"/>
      <w:jc w:val="both"/>
    </w:pPr>
    <w:rPr>
      <w:rFonts w:eastAsia="Calibri"/>
      <w:sz w:val="26"/>
    </w:rPr>
  </w:style>
  <w:style w:type="paragraph" w:customStyle="1" w:styleId="Pismeno">
    <w:name w:val="Pismeno"/>
    <w:basedOn w:val="Odstavec"/>
    <w:uiPriority w:val="99"/>
    <w:rsid w:val="00AB0A62"/>
    <w:pPr>
      <w:numPr>
        <w:ilvl w:val="1"/>
      </w:numPr>
    </w:pPr>
  </w:style>
  <w:style w:type="paragraph" w:styleId="Prosttext">
    <w:name w:val="Plain Text"/>
    <w:basedOn w:val="Normln"/>
    <w:link w:val="ProsttextChar"/>
    <w:uiPriority w:val="99"/>
    <w:semiHidden/>
    <w:unhideWhenUsed/>
    <w:rsid w:val="004D59F1"/>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semiHidden/>
    <w:rsid w:val="004D59F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71928">
      <w:bodyDiv w:val="1"/>
      <w:marLeft w:val="0"/>
      <w:marRight w:val="0"/>
      <w:marTop w:val="0"/>
      <w:marBottom w:val="0"/>
      <w:divBdr>
        <w:top w:val="none" w:sz="0" w:space="0" w:color="auto"/>
        <w:left w:val="none" w:sz="0" w:space="0" w:color="auto"/>
        <w:bottom w:val="none" w:sz="0" w:space="0" w:color="auto"/>
        <w:right w:val="none" w:sz="0" w:space="0" w:color="auto"/>
      </w:divBdr>
    </w:div>
    <w:div w:id="120417295">
      <w:bodyDiv w:val="1"/>
      <w:marLeft w:val="0"/>
      <w:marRight w:val="0"/>
      <w:marTop w:val="0"/>
      <w:marBottom w:val="0"/>
      <w:divBdr>
        <w:top w:val="none" w:sz="0" w:space="0" w:color="auto"/>
        <w:left w:val="none" w:sz="0" w:space="0" w:color="auto"/>
        <w:bottom w:val="none" w:sz="0" w:space="0" w:color="auto"/>
        <w:right w:val="none" w:sz="0" w:space="0" w:color="auto"/>
      </w:divBdr>
    </w:div>
    <w:div w:id="124811670">
      <w:bodyDiv w:val="1"/>
      <w:marLeft w:val="0"/>
      <w:marRight w:val="0"/>
      <w:marTop w:val="0"/>
      <w:marBottom w:val="0"/>
      <w:divBdr>
        <w:top w:val="none" w:sz="0" w:space="0" w:color="auto"/>
        <w:left w:val="none" w:sz="0" w:space="0" w:color="auto"/>
        <w:bottom w:val="none" w:sz="0" w:space="0" w:color="auto"/>
        <w:right w:val="none" w:sz="0" w:space="0" w:color="auto"/>
      </w:divBdr>
    </w:div>
    <w:div w:id="252010626">
      <w:bodyDiv w:val="1"/>
      <w:marLeft w:val="0"/>
      <w:marRight w:val="0"/>
      <w:marTop w:val="0"/>
      <w:marBottom w:val="0"/>
      <w:divBdr>
        <w:top w:val="none" w:sz="0" w:space="0" w:color="auto"/>
        <w:left w:val="none" w:sz="0" w:space="0" w:color="auto"/>
        <w:bottom w:val="none" w:sz="0" w:space="0" w:color="auto"/>
        <w:right w:val="none" w:sz="0" w:space="0" w:color="auto"/>
      </w:divBdr>
    </w:div>
    <w:div w:id="313991268">
      <w:bodyDiv w:val="1"/>
      <w:marLeft w:val="0"/>
      <w:marRight w:val="0"/>
      <w:marTop w:val="0"/>
      <w:marBottom w:val="0"/>
      <w:divBdr>
        <w:top w:val="none" w:sz="0" w:space="0" w:color="auto"/>
        <w:left w:val="none" w:sz="0" w:space="0" w:color="auto"/>
        <w:bottom w:val="none" w:sz="0" w:space="0" w:color="auto"/>
        <w:right w:val="none" w:sz="0" w:space="0" w:color="auto"/>
      </w:divBdr>
    </w:div>
    <w:div w:id="315955204">
      <w:bodyDiv w:val="1"/>
      <w:marLeft w:val="0"/>
      <w:marRight w:val="0"/>
      <w:marTop w:val="0"/>
      <w:marBottom w:val="0"/>
      <w:divBdr>
        <w:top w:val="none" w:sz="0" w:space="0" w:color="auto"/>
        <w:left w:val="none" w:sz="0" w:space="0" w:color="auto"/>
        <w:bottom w:val="none" w:sz="0" w:space="0" w:color="auto"/>
        <w:right w:val="none" w:sz="0" w:space="0" w:color="auto"/>
      </w:divBdr>
    </w:div>
    <w:div w:id="411777490">
      <w:bodyDiv w:val="1"/>
      <w:marLeft w:val="0"/>
      <w:marRight w:val="0"/>
      <w:marTop w:val="0"/>
      <w:marBottom w:val="0"/>
      <w:divBdr>
        <w:top w:val="none" w:sz="0" w:space="0" w:color="auto"/>
        <w:left w:val="none" w:sz="0" w:space="0" w:color="auto"/>
        <w:bottom w:val="none" w:sz="0" w:space="0" w:color="auto"/>
        <w:right w:val="none" w:sz="0" w:space="0" w:color="auto"/>
      </w:divBdr>
    </w:div>
    <w:div w:id="438569142">
      <w:bodyDiv w:val="1"/>
      <w:marLeft w:val="0"/>
      <w:marRight w:val="0"/>
      <w:marTop w:val="0"/>
      <w:marBottom w:val="0"/>
      <w:divBdr>
        <w:top w:val="none" w:sz="0" w:space="0" w:color="auto"/>
        <w:left w:val="none" w:sz="0" w:space="0" w:color="auto"/>
        <w:bottom w:val="none" w:sz="0" w:space="0" w:color="auto"/>
        <w:right w:val="none" w:sz="0" w:space="0" w:color="auto"/>
      </w:divBdr>
    </w:div>
    <w:div w:id="469173060">
      <w:bodyDiv w:val="1"/>
      <w:marLeft w:val="0"/>
      <w:marRight w:val="0"/>
      <w:marTop w:val="0"/>
      <w:marBottom w:val="0"/>
      <w:divBdr>
        <w:top w:val="none" w:sz="0" w:space="0" w:color="auto"/>
        <w:left w:val="none" w:sz="0" w:space="0" w:color="auto"/>
        <w:bottom w:val="none" w:sz="0" w:space="0" w:color="auto"/>
        <w:right w:val="none" w:sz="0" w:space="0" w:color="auto"/>
      </w:divBdr>
    </w:div>
    <w:div w:id="577057342">
      <w:bodyDiv w:val="1"/>
      <w:marLeft w:val="0"/>
      <w:marRight w:val="0"/>
      <w:marTop w:val="0"/>
      <w:marBottom w:val="0"/>
      <w:divBdr>
        <w:top w:val="none" w:sz="0" w:space="0" w:color="auto"/>
        <w:left w:val="none" w:sz="0" w:space="0" w:color="auto"/>
        <w:bottom w:val="none" w:sz="0" w:space="0" w:color="auto"/>
        <w:right w:val="none" w:sz="0" w:space="0" w:color="auto"/>
      </w:divBdr>
    </w:div>
    <w:div w:id="630286491">
      <w:bodyDiv w:val="1"/>
      <w:marLeft w:val="0"/>
      <w:marRight w:val="0"/>
      <w:marTop w:val="0"/>
      <w:marBottom w:val="0"/>
      <w:divBdr>
        <w:top w:val="none" w:sz="0" w:space="0" w:color="auto"/>
        <w:left w:val="none" w:sz="0" w:space="0" w:color="auto"/>
        <w:bottom w:val="none" w:sz="0" w:space="0" w:color="auto"/>
        <w:right w:val="none" w:sz="0" w:space="0" w:color="auto"/>
      </w:divBdr>
    </w:div>
    <w:div w:id="741415832">
      <w:bodyDiv w:val="1"/>
      <w:marLeft w:val="0"/>
      <w:marRight w:val="0"/>
      <w:marTop w:val="0"/>
      <w:marBottom w:val="0"/>
      <w:divBdr>
        <w:top w:val="none" w:sz="0" w:space="0" w:color="auto"/>
        <w:left w:val="none" w:sz="0" w:space="0" w:color="auto"/>
        <w:bottom w:val="none" w:sz="0" w:space="0" w:color="auto"/>
        <w:right w:val="none" w:sz="0" w:space="0" w:color="auto"/>
      </w:divBdr>
    </w:div>
    <w:div w:id="750352469">
      <w:bodyDiv w:val="1"/>
      <w:marLeft w:val="0"/>
      <w:marRight w:val="0"/>
      <w:marTop w:val="0"/>
      <w:marBottom w:val="0"/>
      <w:divBdr>
        <w:top w:val="none" w:sz="0" w:space="0" w:color="auto"/>
        <w:left w:val="none" w:sz="0" w:space="0" w:color="auto"/>
        <w:bottom w:val="none" w:sz="0" w:space="0" w:color="auto"/>
        <w:right w:val="none" w:sz="0" w:space="0" w:color="auto"/>
      </w:divBdr>
    </w:div>
    <w:div w:id="750929437">
      <w:bodyDiv w:val="1"/>
      <w:marLeft w:val="0"/>
      <w:marRight w:val="0"/>
      <w:marTop w:val="0"/>
      <w:marBottom w:val="0"/>
      <w:divBdr>
        <w:top w:val="none" w:sz="0" w:space="0" w:color="auto"/>
        <w:left w:val="none" w:sz="0" w:space="0" w:color="auto"/>
        <w:bottom w:val="none" w:sz="0" w:space="0" w:color="auto"/>
        <w:right w:val="none" w:sz="0" w:space="0" w:color="auto"/>
      </w:divBdr>
    </w:div>
    <w:div w:id="771243311">
      <w:bodyDiv w:val="1"/>
      <w:marLeft w:val="0"/>
      <w:marRight w:val="0"/>
      <w:marTop w:val="0"/>
      <w:marBottom w:val="0"/>
      <w:divBdr>
        <w:top w:val="none" w:sz="0" w:space="0" w:color="auto"/>
        <w:left w:val="none" w:sz="0" w:space="0" w:color="auto"/>
        <w:bottom w:val="none" w:sz="0" w:space="0" w:color="auto"/>
        <w:right w:val="none" w:sz="0" w:space="0" w:color="auto"/>
      </w:divBdr>
    </w:div>
    <w:div w:id="789666396">
      <w:bodyDiv w:val="1"/>
      <w:marLeft w:val="0"/>
      <w:marRight w:val="0"/>
      <w:marTop w:val="0"/>
      <w:marBottom w:val="0"/>
      <w:divBdr>
        <w:top w:val="none" w:sz="0" w:space="0" w:color="auto"/>
        <w:left w:val="none" w:sz="0" w:space="0" w:color="auto"/>
        <w:bottom w:val="none" w:sz="0" w:space="0" w:color="auto"/>
        <w:right w:val="none" w:sz="0" w:space="0" w:color="auto"/>
      </w:divBdr>
    </w:div>
    <w:div w:id="886453419">
      <w:bodyDiv w:val="1"/>
      <w:marLeft w:val="0"/>
      <w:marRight w:val="0"/>
      <w:marTop w:val="0"/>
      <w:marBottom w:val="0"/>
      <w:divBdr>
        <w:top w:val="none" w:sz="0" w:space="0" w:color="auto"/>
        <w:left w:val="none" w:sz="0" w:space="0" w:color="auto"/>
        <w:bottom w:val="none" w:sz="0" w:space="0" w:color="auto"/>
        <w:right w:val="none" w:sz="0" w:space="0" w:color="auto"/>
      </w:divBdr>
    </w:div>
    <w:div w:id="916747513">
      <w:bodyDiv w:val="1"/>
      <w:marLeft w:val="0"/>
      <w:marRight w:val="0"/>
      <w:marTop w:val="0"/>
      <w:marBottom w:val="0"/>
      <w:divBdr>
        <w:top w:val="none" w:sz="0" w:space="0" w:color="auto"/>
        <w:left w:val="none" w:sz="0" w:space="0" w:color="auto"/>
        <w:bottom w:val="none" w:sz="0" w:space="0" w:color="auto"/>
        <w:right w:val="none" w:sz="0" w:space="0" w:color="auto"/>
      </w:divBdr>
      <w:divsChild>
        <w:div w:id="70276911">
          <w:marLeft w:val="0"/>
          <w:marRight w:val="0"/>
          <w:marTop w:val="0"/>
          <w:marBottom w:val="0"/>
          <w:divBdr>
            <w:top w:val="none" w:sz="0" w:space="0" w:color="auto"/>
            <w:left w:val="none" w:sz="0" w:space="0" w:color="auto"/>
            <w:bottom w:val="none" w:sz="0" w:space="0" w:color="auto"/>
            <w:right w:val="none" w:sz="0" w:space="0" w:color="auto"/>
          </w:divBdr>
          <w:divsChild>
            <w:div w:id="73018775">
              <w:marLeft w:val="0"/>
              <w:marRight w:val="0"/>
              <w:marTop w:val="0"/>
              <w:marBottom w:val="0"/>
              <w:divBdr>
                <w:top w:val="none" w:sz="0" w:space="0" w:color="auto"/>
                <w:left w:val="none" w:sz="0" w:space="0" w:color="auto"/>
                <w:bottom w:val="none" w:sz="0" w:space="0" w:color="auto"/>
                <w:right w:val="none" w:sz="0" w:space="0" w:color="auto"/>
              </w:divBdr>
              <w:divsChild>
                <w:div w:id="1171986127">
                  <w:marLeft w:val="0"/>
                  <w:marRight w:val="0"/>
                  <w:marTop w:val="0"/>
                  <w:marBottom w:val="0"/>
                  <w:divBdr>
                    <w:top w:val="none" w:sz="0" w:space="0" w:color="auto"/>
                    <w:left w:val="none" w:sz="0" w:space="0" w:color="auto"/>
                    <w:bottom w:val="none" w:sz="0" w:space="0" w:color="auto"/>
                    <w:right w:val="none" w:sz="0" w:space="0" w:color="auto"/>
                  </w:divBdr>
                  <w:divsChild>
                    <w:div w:id="91441259">
                      <w:marLeft w:val="0"/>
                      <w:marRight w:val="0"/>
                      <w:marTop w:val="0"/>
                      <w:marBottom w:val="0"/>
                      <w:divBdr>
                        <w:top w:val="none" w:sz="0" w:space="0" w:color="auto"/>
                        <w:left w:val="none" w:sz="0" w:space="0" w:color="auto"/>
                        <w:bottom w:val="none" w:sz="0" w:space="0" w:color="auto"/>
                        <w:right w:val="none" w:sz="0" w:space="0" w:color="auto"/>
                      </w:divBdr>
                      <w:divsChild>
                        <w:div w:id="1790396478">
                          <w:marLeft w:val="0"/>
                          <w:marRight w:val="0"/>
                          <w:marTop w:val="0"/>
                          <w:marBottom w:val="0"/>
                          <w:divBdr>
                            <w:top w:val="none" w:sz="0" w:space="0" w:color="auto"/>
                            <w:left w:val="none" w:sz="0" w:space="0" w:color="auto"/>
                            <w:bottom w:val="none" w:sz="0" w:space="0" w:color="auto"/>
                            <w:right w:val="none" w:sz="0" w:space="0" w:color="auto"/>
                          </w:divBdr>
                          <w:divsChild>
                            <w:div w:id="124665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430809">
      <w:bodyDiv w:val="1"/>
      <w:marLeft w:val="0"/>
      <w:marRight w:val="0"/>
      <w:marTop w:val="0"/>
      <w:marBottom w:val="0"/>
      <w:divBdr>
        <w:top w:val="none" w:sz="0" w:space="0" w:color="auto"/>
        <w:left w:val="none" w:sz="0" w:space="0" w:color="auto"/>
        <w:bottom w:val="none" w:sz="0" w:space="0" w:color="auto"/>
        <w:right w:val="none" w:sz="0" w:space="0" w:color="auto"/>
      </w:divBdr>
    </w:div>
    <w:div w:id="1057782605">
      <w:bodyDiv w:val="1"/>
      <w:marLeft w:val="0"/>
      <w:marRight w:val="0"/>
      <w:marTop w:val="0"/>
      <w:marBottom w:val="0"/>
      <w:divBdr>
        <w:top w:val="none" w:sz="0" w:space="0" w:color="auto"/>
        <w:left w:val="none" w:sz="0" w:space="0" w:color="auto"/>
        <w:bottom w:val="none" w:sz="0" w:space="0" w:color="auto"/>
        <w:right w:val="none" w:sz="0" w:space="0" w:color="auto"/>
      </w:divBdr>
    </w:div>
    <w:div w:id="1069615532">
      <w:bodyDiv w:val="1"/>
      <w:marLeft w:val="0"/>
      <w:marRight w:val="0"/>
      <w:marTop w:val="0"/>
      <w:marBottom w:val="0"/>
      <w:divBdr>
        <w:top w:val="none" w:sz="0" w:space="0" w:color="auto"/>
        <w:left w:val="none" w:sz="0" w:space="0" w:color="auto"/>
        <w:bottom w:val="none" w:sz="0" w:space="0" w:color="auto"/>
        <w:right w:val="none" w:sz="0" w:space="0" w:color="auto"/>
      </w:divBdr>
    </w:div>
    <w:div w:id="1112626148">
      <w:bodyDiv w:val="1"/>
      <w:marLeft w:val="0"/>
      <w:marRight w:val="0"/>
      <w:marTop w:val="0"/>
      <w:marBottom w:val="0"/>
      <w:divBdr>
        <w:top w:val="none" w:sz="0" w:space="0" w:color="auto"/>
        <w:left w:val="none" w:sz="0" w:space="0" w:color="auto"/>
        <w:bottom w:val="none" w:sz="0" w:space="0" w:color="auto"/>
        <w:right w:val="none" w:sz="0" w:space="0" w:color="auto"/>
      </w:divBdr>
    </w:div>
    <w:div w:id="1154954745">
      <w:bodyDiv w:val="1"/>
      <w:marLeft w:val="0"/>
      <w:marRight w:val="0"/>
      <w:marTop w:val="0"/>
      <w:marBottom w:val="0"/>
      <w:divBdr>
        <w:top w:val="none" w:sz="0" w:space="0" w:color="auto"/>
        <w:left w:val="none" w:sz="0" w:space="0" w:color="auto"/>
        <w:bottom w:val="none" w:sz="0" w:space="0" w:color="auto"/>
        <w:right w:val="none" w:sz="0" w:space="0" w:color="auto"/>
      </w:divBdr>
    </w:div>
    <w:div w:id="1185905221">
      <w:bodyDiv w:val="1"/>
      <w:marLeft w:val="0"/>
      <w:marRight w:val="0"/>
      <w:marTop w:val="0"/>
      <w:marBottom w:val="0"/>
      <w:divBdr>
        <w:top w:val="none" w:sz="0" w:space="0" w:color="auto"/>
        <w:left w:val="none" w:sz="0" w:space="0" w:color="auto"/>
        <w:bottom w:val="none" w:sz="0" w:space="0" w:color="auto"/>
        <w:right w:val="none" w:sz="0" w:space="0" w:color="auto"/>
      </w:divBdr>
    </w:div>
    <w:div w:id="1218739668">
      <w:bodyDiv w:val="1"/>
      <w:marLeft w:val="0"/>
      <w:marRight w:val="0"/>
      <w:marTop w:val="0"/>
      <w:marBottom w:val="0"/>
      <w:divBdr>
        <w:top w:val="none" w:sz="0" w:space="0" w:color="auto"/>
        <w:left w:val="none" w:sz="0" w:space="0" w:color="auto"/>
        <w:bottom w:val="none" w:sz="0" w:space="0" w:color="auto"/>
        <w:right w:val="none" w:sz="0" w:space="0" w:color="auto"/>
      </w:divBdr>
    </w:div>
    <w:div w:id="1248728168">
      <w:bodyDiv w:val="1"/>
      <w:marLeft w:val="0"/>
      <w:marRight w:val="0"/>
      <w:marTop w:val="0"/>
      <w:marBottom w:val="0"/>
      <w:divBdr>
        <w:top w:val="none" w:sz="0" w:space="0" w:color="auto"/>
        <w:left w:val="none" w:sz="0" w:space="0" w:color="auto"/>
        <w:bottom w:val="none" w:sz="0" w:space="0" w:color="auto"/>
        <w:right w:val="none" w:sz="0" w:space="0" w:color="auto"/>
      </w:divBdr>
    </w:div>
    <w:div w:id="1289895322">
      <w:bodyDiv w:val="1"/>
      <w:marLeft w:val="0"/>
      <w:marRight w:val="0"/>
      <w:marTop w:val="0"/>
      <w:marBottom w:val="0"/>
      <w:divBdr>
        <w:top w:val="none" w:sz="0" w:space="0" w:color="auto"/>
        <w:left w:val="none" w:sz="0" w:space="0" w:color="auto"/>
        <w:bottom w:val="none" w:sz="0" w:space="0" w:color="auto"/>
        <w:right w:val="none" w:sz="0" w:space="0" w:color="auto"/>
      </w:divBdr>
    </w:div>
    <w:div w:id="1355502560">
      <w:bodyDiv w:val="1"/>
      <w:marLeft w:val="0"/>
      <w:marRight w:val="0"/>
      <w:marTop w:val="0"/>
      <w:marBottom w:val="0"/>
      <w:divBdr>
        <w:top w:val="none" w:sz="0" w:space="0" w:color="auto"/>
        <w:left w:val="none" w:sz="0" w:space="0" w:color="auto"/>
        <w:bottom w:val="none" w:sz="0" w:space="0" w:color="auto"/>
        <w:right w:val="none" w:sz="0" w:space="0" w:color="auto"/>
      </w:divBdr>
    </w:div>
    <w:div w:id="1370378416">
      <w:bodyDiv w:val="1"/>
      <w:marLeft w:val="0"/>
      <w:marRight w:val="0"/>
      <w:marTop w:val="0"/>
      <w:marBottom w:val="0"/>
      <w:divBdr>
        <w:top w:val="none" w:sz="0" w:space="0" w:color="auto"/>
        <w:left w:val="none" w:sz="0" w:space="0" w:color="auto"/>
        <w:bottom w:val="none" w:sz="0" w:space="0" w:color="auto"/>
        <w:right w:val="none" w:sz="0" w:space="0" w:color="auto"/>
      </w:divBdr>
    </w:div>
    <w:div w:id="1412383748">
      <w:bodyDiv w:val="1"/>
      <w:marLeft w:val="0"/>
      <w:marRight w:val="0"/>
      <w:marTop w:val="0"/>
      <w:marBottom w:val="0"/>
      <w:divBdr>
        <w:top w:val="none" w:sz="0" w:space="0" w:color="auto"/>
        <w:left w:val="none" w:sz="0" w:space="0" w:color="auto"/>
        <w:bottom w:val="none" w:sz="0" w:space="0" w:color="auto"/>
        <w:right w:val="none" w:sz="0" w:space="0" w:color="auto"/>
      </w:divBdr>
    </w:div>
    <w:div w:id="1413968492">
      <w:bodyDiv w:val="1"/>
      <w:marLeft w:val="0"/>
      <w:marRight w:val="0"/>
      <w:marTop w:val="0"/>
      <w:marBottom w:val="0"/>
      <w:divBdr>
        <w:top w:val="none" w:sz="0" w:space="0" w:color="auto"/>
        <w:left w:val="none" w:sz="0" w:space="0" w:color="auto"/>
        <w:bottom w:val="none" w:sz="0" w:space="0" w:color="auto"/>
        <w:right w:val="none" w:sz="0" w:space="0" w:color="auto"/>
      </w:divBdr>
    </w:div>
    <w:div w:id="1459450586">
      <w:bodyDiv w:val="1"/>
      <w:marLeft w:val="0"/>
      <w:marRight w:val="0"/>
      <w:marTop w:val="0"/>
      <w:marBottom w:val="0"/>
      <w:divBdr>
        <w:top w:val="none" w:sz="0" w:space="0" w:color="auto"/>
        <w:left w:val="none" w:sz="0" w:space="0" w:color="auto"/>
        <w:bottom w:val="none" w:sz="0" w:space="0" w:color="auto"/>
        <w:right w:val="none" w:sz="0" w:space="0" w:color="auto"/>
      </w:divBdr>
    </w:div>
    <w:div w:id="1529293325">
      <w:bodyDiv w:val="1"/>
      <w:marLeft w:val="0"/>
      <w:marRight w:val="0"/>
      <w:marTop w:val="0"/>
      <w:marBottom w:val="0"/>
      <w:divBdr>
        <w:top w:val="none" w:sz="0" w:space="0" w:color="auto"/>
        <w:left w:val="none" w:sz="0" w:space="0" w:color="auto"/>
        <w:bottom w:val="none" w:sz="0" w:space="0" w:color="auto"/>
        <w:right w:val="none" w:sz="0" w:space="0" w:color="auto"/>
      </w:divBdr>
    </w:div>
    <w:div w:id="1593270926">
      <w:bodyDiv w:val="1"/>
      <w:marLeft w:val="0"/>
      <w:marRight w:val="0"/>
      <w:marTop w:val="0"/>
      <w:marBottom w:val="0"/>
      <w:divBdr>
        <w:top w:val="none" w:sz="0" w:space="0" w:color="auto"/>
        <w:left w:val="none" w:sz="0" w:space="0" w:color="auto"/>
        <w:bottom w:val="none" w:sz="0" w:space="0" w:color="auto"/>
        <w:right w:val="none" w:sz="0" w:space="0" w:color="auto"/>
      </w:divBdr>
    </w:div>
    <w:div w:id="1705713623">
      <w:bodyDiv w:val="1"/>
      <w:marLeft w:val="0"/>
      <w:marRight w:val="0"/>
      <w:marTop w:val="0"/>
      <w:marBottom w:val="0"/>
      <w:divBdr>
        <w:top w:val="none" w:sz="0" w:space="0" w:color="auto"/>
        <w:left w:val="none" w:sz="0" w:space="0" w:color="auto"/>
        <w:bottom w:val="none" w:sz="0" w:space="0" w:color="auto"/>
        <w:right w:val="none" w:sz="0" w:space="0" w:color="auto"/>
      </w:divBdr>
    </w:div>
    <w:div w:id="1746804414">
      <w:bodyDiv w:val="1"/>
      <w:marLeft w:val="0"/>
      <w:marRight w:val="0"/>
      <w:marTop w:val="0"/>
      <w:marBottom w:val="0"/>
      <w:divBdr>
        <w:top w:val="none" w:sz="0" w:space="0" w:color="auto"/>
        <w:left w:val="none" w:sz="0" w:space="0" w:color="auto"/>
        <w:bottom w:val="none" w:sz="0" w:space="0" w:color="auto"/>
        <w:right w:val="none" w:sz="0" w:space="0" w:color="auto"/>
      </w:divBdr>
    </w:div>
    <w:div w:id="1794834504">
      <w:bodyDiv w:val="1"/>
      <w:marLeft w:val="0"/>
      <w:marRight w:val="0"/>
      <w:marTop w:val="0"/>
      <w:marBottom w:val="0"/>
      <w:divBdr>
        <w:top w:val="none" w:sz="0" w:space="0" w:color="auto"/>
        <w:left w:val="none" w:sz="0" w:space="0" w:color="auto"/>
        <w:bottom w:val="none" w:sz="0" w:space="0" w:color="auto"/>
        <w:right w:val="none" w:sz="0" w:space="0" w:color="auto"/>
      </w:divBdr>
    </w:div>
    <w:div w:id="1812096709">
      <w:bodyDiv w:val="1"/>
      <w:marLeft w:val="0"/>
      <w:marRight w:val="0"/>
      <w:marTop w:val="0"/>
      <w:marBottom w:val="0"/>
      <w:divBdr>
        <w:top w:val="none" w:sz="0" w:space="0" w:color="auto"/>
        <w:left w:val="none" w:sz="0" w:space="0" w:color="auto"/>
        <w:bottom w:val="none" w:sz="0" w:space="0" w:color="auto"/>
        <w:right w:val="none" w:sz="0" w:space="0" w:color="auto"/>
      </w:divBdr>
    </w:div>
    <w:div w:id="1827210225">
      <w:bodyDiv w:val="1"/>
      <w:marLeft w:val="0"/>
      <w:marRight w:val="0"/>
      <w:marTop w:val="0"/>
      <w:marBottom w:val="0"/>
      <w:divBdr>
        <w:top w:val="none" w:sz="0" w:space="0" w:color="auto"/>
        <w:left w:val="none" w:sz="0" w:space="0" w:color="auto"/>
        <w:bottom w:val="none" w:sz="0" w:space="0" w:color="auto"/>
        <w:right w:val="none" w:sz="0" w:space="0" w:color="auto"/>
      </w:divBdr>
    </w:div>
    <w:div w:id="1969162921">
      <w:bodyDiv w:val="1"/>
      <w:marLeft w:val="0"/>
      <w:marRight w:val="0"/>
      <w:marTop w:val="0"/>
      <w:marBottom w:val="0"/>
      <w:divBdr>
        <w:top w:val="none" w:sz="0" w:space="0" w:color="auto"/>
        <w:left w:val="none" w:sz="0" w:space="0" w:color="auto"/>
        <w:bottom w:val="none" w:sz="0" w:space="0" w:color="auto"/>
        <w:right w:val="none" w:sz="0" w:space="0" w:color="auto"/>
      </w:divBdr>
    </w:div>
    <w:div w:id="2015918542">
      <w:bodyDiv w:val="1"/>
      <w:marLeft w:val="0"/>
      <w:marRight w:val="0"/>
      <w:marTop w:val="0"/>
      <w:marBottom w:val="0"/>
      <w:divBdr>
        <w:top w:val="none" w:sz="0" w:space="0" w:color="auto"/>
        <w:left w:val="none" w:sz="0" w:space="0" w:color="auto"/>
        <w:bottom w:val="none" w:sz="0" w:space="0" w:color="auto"/>
        <w:right w:val="none" w:sz="0" w:space="0" w:color="auto"/>
      </w:divBdr>
    </w:div>
    <w:div w:id="2064402270">
      <w:bodyDiv w:val="1"/>
      <w:marLeft w:val="0"/>
      <w:marRight w:val="0"/>
      <w:marTop w:val="0"/>
      <w:marBottom w:val="0"/>
      <w:divBdr>
        <w:top w:val="none" w:sz="0" w:space="0" w:color="auto"/>
        <w:left w:val="none" w:sz="0" w:space="0" w:color="auto"/>
        <w:bottom w:val="none" w:sz="0" w:space="0" w:color="auto"/>
        <w:right w:val="none" w:sz="0" w:space="0" w:color="auto"/>
      </w:divBdr>
    </w:div>
    <w:div w:id="2114081846">
      <w:bodyDiv w:val="1"/>
      <w:marLeft w:val="0"/>
      <w:marRight w:val="0"/>
      <w:marTop w:val="0"/>
      <w:marBottom w:val="0"/>
      <w:divBdr>
        <w:top w:val="none" w:sz="0" w:space="0" w:color="auto"/>
        <w:left w:val="none" w:sz="0" w:space="0" w:color="auto"/>
        <w:bottom w:val="none" w:sz="0" w:space="0" w:color="auto"/>
        <w:right w:val="none" w:sz="0" w:space="0" w:color="auto"/>
      </w:divBdr>
    </w:div>
    <w:div w:id="212022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8B2B7-457E-4853-AB2A-F5CE9672C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10485</Words>
  <Characters>61865</Characters>
  <Application>Microsoft Office Word</Application>
  <DocSecurity>4</DocSecurity>
  <Lines>515</Lines>
  <Paragraphs>144</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72206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Radka Bezděkovská</dc:creator>
  <cp:lastModifiedBy>Steinová Gabriela</cp:lastModifiedBy>
  <cp:revision>2</cp:revision>
  <cp:lastPrinted>2017-05-19T09:36:00Z</cp:lastPrinted>
  <dcterms:created xsi:type="dcterms:W3CDTF">2018-11-26T14:00:00Z</dcterms:created>
  <dcterms:modified xsi:type="dcterms:W3CDTF">2018-11-26T14:00:00Z</dcterms:modified>
</cp:coreProperties>
</file>